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药学硕士专业</w:t>
      </w:r>
      <w:r>
        <w:rPr>
          <w:rFonts w:hint="eastAsia" w:ascii="方正小标宋简体" w:hAnsi="方正小标宋简体" w:eastAsia="方正小标宋简体" w:cs="方正小标宋简体"/>
          <w:sz w:val="36"/>
          <w:szCs w:val="36"/>
        </w:rPr>
        <w:t>学位授权点建设年度报告</w:t>
      </w:r>
    </w:p>
    <w:p>
      <w:pPr>
        <w:snapToGrid w:val="0"/>
        <w:spacing w:line="580" w:lineRule="exact"/>
        <w:ind w:firstLine="72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2021年</w:t>
      </w:r>
      <w:r>
        <w:rPr>
          <w:rFonts w:hint="eastAsia" w:ascii="方正小标宋简体" w:hAnsi="方正小标宋简体" w:eastAsia="方正小标宋简体" w:cs="方正小标宋简体"/>
          <w:sz w:val="36"/>
          <w:szCs w:val="36"/>
        </w:rPr>
        <w:t>）</w:t>
      </w:r>
    </w:p>
    <w:p>
      <w:pPr>
        <w:numPr>
          <w:ilvl w:val="-1"/>
          <w:numId w:val="0"/>
        </w:numPr>
        <w:spacing w:before="157" w:beforeLines="50" w:line="440" w:lineRule="exact"/>
        <w:ind w:firstLine="560" w:firstLineChars="200"/>
        <w:rPr>
          <w:rFonts w:ascii="仿宋_GB2312" w:hAnsi="黑体" w:eastAsia="仿宋_GB2312" w:cs="黑体"/>
          <w:bCs/>
          <w:sz w:val="28"/>
          <w:szCs w:val="28"/>
        </w:rPr>
      </w:pPr>
      <w:r>
        <w:rPr>
          <w:rFonts w:hint="eastAsia" w:ascii="仿宋_GB2312" w:hAnsi="黑体" w:eastAsia="仿宋_GB2312" w:cs="黑体"/>
          <w:bCs/>
          <w:sz w:val="28"/>
          <w:szCs w:val="28"/>
          <w:lang w:val="en-US" w:eastAsia="zh-CN"/>
        </w:rPr>
        <w:t>一、</w:t>
      </w:r>
      <w:r>
        <w:rPr>
          <w:rFonts w:hint="eastAsia" w:ascii="仿宋_GB2312" w:hAnsi="黑体" w:eastAsia="仿宋_GB2312" w:cs="黑体"/>
          <w:bCs/>
          <w:sz w:val="28"/>
          <w:szCs w:val="28"/>
        </w:rPr>
        <w:t>学位授权点基本情况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福建医科大学创建于1937年，是一所以医为主，多学科协调发展，具有完整人才培养体系的福建省“双一流”建设高校，是福建省卫生人才培养中心、医学科学研究中心和医疗卫生服务中心。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本学位点依托</w:t>
      </w:r>
      <w:r>
        <w:rPr>
          <w:rFonts w:hint="eastAsia" w:ascii="仿宋_GB2312" w:hAnsi="仿宋" w:eastAsia="仿宋_GB2312" w:cs="仿宋"/>
          <w:sz w:val="28"/>
          <w:szCs w:val="28"/>
        </w:rPr>
        <w:t>福建医科大学药学院</w:t>
      </w:r>
      <w:r>
        <w:rPr>
          <w:rFonts w:hint="eastAsia" w:ascii="仿宋_GB2312" w:hAnsi="仿宋" w:eastAsia="仿宋_GB2312" w:cs="仿宋"/>
          <w:sz w:val="28"/>
          <w:szCs w:val="28"/>
          <w:lang w:val="en-US" w:eastAsia="zh-CN"/>
        </w:rPr>
        <w:t>开展各项工作。</w:t>
      </w:r>
      <w:r>
        <w:rPr>
          <w:rFonts w:hint="eastAsia" w:ascii="仿宋_GB2312" w:hAnsi="仿宋" w:eastAsia="仿宋_GB2312" w:cs="仿宋"/>
          <w:sz w:val="28"/>
          <w:szCs w:val="28"/>
        </w:rPr>
        <w:t>设有药理学系、临床药学系、药物分析学系、药物化学系、药剂学系、天然药物学系、基础化学系、生物工程与生物制药学系等8个学系和实验教学中心、药学科技管理与服务中心等下属机构。开设药学、临床药学、药物制剂、生物制药、药物分析等5个本科药学类专业，每年招生210人左右（药物分析专业从2016年开始暂停招生），其中药学和临床药学专业为国家一流本科专业建设点，生物制药专业为省级一流本科专业建设点。拥有3个省级重点学科：药理学（2003年）、药学特色重点学科（2012年）、省一流学科药学高峰学科（2018年），药理学毒理学学科、化学学科进入ESI全球排名前1%。1984年获得药理学硕士学位授权点（我校首批硕士点），2003年获得药理学博士学位授权点，成为我省药理学硕士学位、博士学位唯一的授权点；2005年获得药学一级学科硕士学位授权点；2011年获得药学硕士专业学位授权点；2018年获得药学一级学科博士学位授权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本学位点构建了</w:t>
      </w:r>
      <w:r>
        <w:rPr>
          <w:rFonts w:hint="eastAsia" w:ascii="仿宋_GB2312" w:hAnsi="仿宋" w:eastAsia="仿宋_GB2312" w:cs="仿宋"/>
          <w:sz w:val="28"/>
          <w:szCs w:val="28"/>
        </w:rPr>
        <w:t>学士、硕士、博士人才培养体系，人才培养工作成效显著。作为我省药学类专业研究生培养的主要基地，已培养博士77名、硕士671名，在读硕、博士研究生345名；近三年获得福建省优秀博士学位论文2篇，优秀硕士学位论文11篇。先后培养输送全日制本科毕业生4151名，现在读全日制本科生1055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（一）目标与标准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rPr>
        <w:t>培养目标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以</w:t>
      </w:r>
      <w:r>
        <w:rPr>
          <w:rFonts w:hint="eastAsia" w:ascii="仿宋_GB2312" w:hAnsi="仿宋" w:eastAsia="仿宋_GB2312" w:cs="仿宋"/>
          <w:sz w:val="28"/>
          <w:szCs w:val="28"/>
        </w:rPr>
        <w:t>药学职业实践为导向，培养掌握马克思主义基本原理和中国特色社会主义理论体系，具有良好的政治素质和职业道德，在药物技术转化、临床使用、监管与生产流通等应用领域的高层次应用型药学专门人才。本学位点依托附属医院临床药师培养条件，率先招收临床药学领域专业学位硕士，陆续开展工业药学、管理药学</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highlight w:val="none"/>
          <w:lang w:val="en-US" w:eastAsia="zh-CN"/>
        </w:rPr>
        <w:t>药物分析</w:t>
      </w:r>
      <w:r>
        <w:rPr>
          <w:rFonts w:hint="eastAsia" w:ascii="仿宋_GB2312" w:hAnsi="仿宋" w:eastAsia="仿宋_GB2312" w:cs="仿宋"/>
          <w:sz w:val="28"/>
          <w:szCs w:val="28"/>
        </w:rPr>
        <w:t>领域专业学位硕士培养。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临床药学领域，以药学服务胜任力为导向，以临床实践为主线，培养医疗行业急需的懂医精药、具备药学专业知识背景及临床思维与实践技能，特别是能综合运用专业知识解决临床用药实际问题，并针对临床用药问题开展科研的临床药学高级应用型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工业药学领域，以实现从制药大国向强国的转变，作为药学工作者新时代的神圣使命，旨在培养适应经济社会发展需要、具备岗位胜任力和创新能力的药学高素质应用型人才。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管理药学领域，在新一轮医药卫生体制改革的背景下，培养能够服务于政府、医药企业等部门相关管理岗位的人才，满足国家医改新形势下医药行业全产业链的改革需求，为相关政策的制定和决策提供可靠智慧支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highlight w:val="none"/>
          <w:lang w:val="en-US" w:eastAsia="zh-CN"/>
        </w:rPr>
        <w:t>药物分析领域，旨在培养面向药物研究与开发单位、医药院校、医院药房、药品生产和流通企业、药品检验和药事管理等部门从事药物研究与开发、生产、质量监控、管理和监督合理用药的高级应用型药学专门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学位标准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eastAsia="仿宋_GB2312"/>
          <w:sz w:val="28"/>
          <w:szCs w:val="28"/>
        </w:rPr>
        <w:t>针对已获得</w:t>
      </w:r>
      <w:r>
        <w:rPr>
          <w:rFonts w:hint="eastAsia" w:ascii="仿宋_GB2312" w:eastAsia="仿宋_GB2312"/>
          <w:sz w:val="28"/>
          <w:szCs w:val="28"/>
          <w:lang w:val="en-US" w:eastAsia="zh-CN"/>
        </w:rPr>
        <w:t>本科学历</w:t>
      </w:r>
      <w:r>
        <w:rPr>
          <w:rFonts w:hint="eastAsia" w:ascii="仿宋_GB2312" w:eastAsia="仿宋_GB2312"/>
          <w:sz w:val="28"/>
          <w:szCs w:val="28"/>
        </w:rPr>
        <w:t>人员，在</w:t>
      </w:r>
      <w:r>
        <w:rPr>
          <w:rFonts w:hint="eastAsia" w:ascii="仿宋_GB2312" w:eastAsia="仿宋_GB2312"/>
          <w:sz w:val="28"/>
          <w:szCs w:val="28"/>
          <w:lang w:val="en-US" w:eastAsia="zh-CN"/>
        </w:rPr>
        <w:t>临床药学、工业药学、管理药学、药物分析</w:t>
      </w:r>
      <w:r>
        <w:rPr>
          <w:rFonts w:hint="eastAsia" w:ascii="仿宋_GB2312" w:eastAsia="仿宋_GB2312"/>
          <w:sz w:val="28"/>
          <w:szCs w:val="28"/>
        </w:rPr>
        <w:t>等</w:t>
      </w:r>
      <w:r>
        <w:rPr>
          <w:rFonts w:hint="eastAsia" w:ascii="仿宋_GB2312" w:eastAsia="仿宋_GB2312"/>
          <w:sz w:val="28"/>
          <w:szCs w:val="28"/>
          <w:lang w:val="en-US" w:eastAsia="zh-CN"/>
        </w:rPr>
        <w:t>专业领域</w:t>
      </w:r>
      <w:r>
        <w:rPr>
          <w:rFonts w:hint="eastAsia" w:ascii="仿宋_GB2312" w:eastAsia="仿宋_GB2312"/>
          <w:sz w:val="28"/>
          <w:szCs w:val="28"/>
        </w:rPr>
        <w:t>，</w:t>
      </w:r>
      <w:r>
        <w:rPr>
          <w:rFonts w:hint="eastAsia" w:ascii="仿宋_GB2312" w:eastAsia="仿宋_GB2312"/>
          <w:sz w:val="28"/>
          <w:szCs w:val="28"/>
          <w:lang w:val="en-US" w:eastAsia="zh-CN"/>
        </w:rPr>
        <w:t>通过</w:t>
      </w:r>
      <w:r>
        <w:rPr>
          <w:rFonts w:hint="eastAsia" w:ascii="仿宋_GB2312" w:eastAsia="仿宋_GB2312"/>
          <w:sz w:val="28"/>
          <w:szCs w:val="28"/>
        </w:rPr>
        <w:t>3年左右的专门理论</w:t>
      </w:r>
      <w:r>
        <w:rPr>
          <w:rFonts w:hint="eastAsia" w:ascii="仿宋_GB2312" w:eastAsia="仿宋_GB2312"/>
          <w:sz w:val="28"/>
          <w:szCs w:val="28"/>
          <w:lang w:val="en-US" w:eastAsia="zh-CN"/>
        </w:rPr>
        <w:t>和</w:t>
      </w:r>
      <w:r>
        <w:rPr>
          <w:rFonts w:hint="eastAsia" w:ascii="仿宋_GB2312" w:eastAsia="仿宋_GB2312"/>
          <w:sz w:val="28"/>
          <w:szCs w:val="28"/>
        </w:rPr>
        <w:t>技术知识系统学习，课程成绩合格，完成</w:t>
      </w:r>
      <w:r>
        <w:rPr>
          <w:rFonts w:hint="eastAsia" w:ascii="仿宋_GB2312" w:eastAsia="仿宋_GB2312"/>
          <w:sz w:val="28"/>
          <w:szCs w:val="28"/>
          <w:lang w:val="en-US" w:eastAsia="zh-CN"/>
        </w:rPr>
        <w:t>不少于1年的行业实践，完成</w:t>
      </w:r>
      <w:r>
        <w:rPr>
          <w:rFonts w:hint="eastAsia" w:ascii="仿宋_GB2312" w:eastAsia="仿宋_GB2312"/>
          <w:sz w:val="28"/>
          <w:szCs w:val="28"/>
        </w:rPr>
        <w:t>具有一定完整性和系统性的科学技术研究课题，撰写的硕士学位论文合格并通过毕业论文答辩，按照《福建医科大学硕士学位授予工作细则》授予</w:t>
      </w:r>
      <w:r>
        <w:rPr>
          <w:rFonts w:hint="eastAsia" w:ascii="仿宋_GB2312" w:eastAsia="仿宋_GB2312"/>
          <w:sz w:val="28"/>
          <w:szCs w:val="28"/>
          <w:lang w:val="en-US" w:eastAsia="zh-CN"/>
        </w:rPr>
        <w:t>药学硕士专业</w:t>
      </w:r>
      <w:r>
        <w:rPr>
          <w:rFonts w:hint="eastAsia" w:ascii="仿宋_GB2312" w:eastAsia="仿宋_GB2312"/>
          <w:sz w:val="28"/>
          <w:szCs w:val="28"/>
        </w:rPr>
        <w:t>硕士学位。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（二）基本条件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2.1</w:t>
      </w:r>
      <w:r>
        <w:rPr>
          <w:rFonts w:hint="eastAsia" w:ascii="仿宋_GB2312" w:hAnsi="仿宋" w:eastAsia="仿宋_GB2312" w:cs="仿宋"/>
          <w:sz w:val="28"/>
          <w:szCs w:val="28"/>
        </w:rPr>
        <w:t>培养方向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培养方</w:t>
      </w:r>
      <w:r>
        <w:rPr>
          <w:rFonts w:hint="eastAsia" w:ascii="仿宋_GB2312" w:hAnsi="仿宋" w:eastAsia="仿宋_GB2312" w:cs="仿宋"/>
          <w:sz w:val="28"/>
          <w:szCs w:val="28"/>
        </w:rPr>
        <w:t>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highlight w:val="none"/>
          <w:lang w:val="en-US" w:eastAsia="zh-CN"/>
        </w:rPr>
      </w:pPr>
      <w:r>
        <w:rPr>
          <w:rFonts w:hint="eastAsia" w:ascii="仿宋_GB2312" w:hAnsi="仿宋" w:eastAsia="仿宋_GB2312" w:cs="仿宋"/>
          <w:sz w:val="28"/>
          <w:szCs w:val="28"/>
          <w:highlight w:val="none"/>
          <w:lang w:val="en-US" w:eastAsia="zh-CN"/>
        </w:rPr>
        <w:t>本学位点设置四个领域，分别是临床药学、工业药学、管理药学和药物分析。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2.1.1 临床药学领域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临床药学领域以药师如何开展药学监护以及在临床合理用药中发挥作用为研究核心，探讨如何运用药物基因组学、临床药动学/药效学、系统评价、药物经济学等领域研究成果用于临床；探讨如何应用群体药动学及生理药动学等模型，设计个体化给药方案；研究并评价药师如何参与医生对患者的临床治疗，接受用药咨询，参加病例会诊，开展患者用药、健康教育，为患者提供多方位药学服务，进而提高临床合理用药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2.1.2 工业药学领域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工业药学领域主要基于新设备、新辅料的应用，开展制剂新剂型和新技术的研究；口服缓控释给药系统的设计、评价与产业化；新型注射给药系统的设计、评价与产业化；外用及透皮给药系统的设计、评价与产业化；黏膜给药系统的设计、评价与产业化；难溶性药物的制剂方法；制剂生产过程中的质量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2.1.3 管理药学领域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管理药学领域研究的主要任务是研究解决药物研发、生产、流通、使用、监管等各个环节中出现的管理问题，以及非临床研究技术和管理，为药物的可及性、经济性、合理性等提供相关的理论和解决方案。本学科既有现代药学</w:t>
      </w:r>
      <w:r>
        <w:rPr>
          <w:rFonts w:hint="eastAsia" w:ascii="仿宋_GB2312" w:hAnsi="仿宋" w:eastAsia="仿宋_GB2312" w:cs="仿宋"/>
          <w:sz w:val="28"/>
          <w:szCs w:val="28"/>
          <w:lang w:val="en-US" w:eastAsia="zh-CN"/>
        </w:rPr>
        <w:t>、</w:t>
      </w:r>
      <w:r>
        <w:rPr>
          <w:rFonts w:hint="default" w:ascii="仿宋_GB2312" w:hAnsi="仿宋" w:eastAsia="仿宋_GB2312" w:cs="仿宋"/>
          <w:sz w:val="28"/>
          <w:szCs w:val="28"/>
          <w:lang w:val="en-US" w:eastAsia="zh-CN"/>
        </w:rPr>
        <w:t>自然科学的属性，又有现代社会学，伦理学等社会科学的属性，是社会科学和自然科学相互渗透的产物,是社会科学属性的药学发展的高级形态。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highlight w:val="none"/>
          <w:lang w:val="en-US" w:eastAsia="zh-CN"/>
        </w:rPr>
      </w:pPr>
      <w:r>
        <w:rPr>
          <w:rFonts w:hint="eastAsia" w:ascii="仿宋_GB2312" w:hAnsi="仿宋" w:eastAsia="仿宋_GB2312" w:cs="仿宋"/>
          <w:sz w:val="28"/>
          <w:szCs w:val="28"/>
          <w:highlight w:val="none"/>
          <w:lang w:val="en-US" w:eastAsia="zh-CN"/>
        </w:rPr>
        <w:t>2.1.4药物分析领域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bookmarkStart w:id="0" w:name="_Hlk45863299"/>
      <w:r>
        <w:rPr>
          <w:rFonts w:hint="eastAsia" w:ascii="仿宋_GB2312" w:hAnsi="仿宋" w:eastAsia="仿宋_GB2312" w:cs="仿宋"/>
          <w:sz w:val="28"/>
          <w:szCs w:val="28"/>
          <w:lang w:val="en-US" w:eastAsia="zh-CN"/>
        </w:rPr>
        <w:t>药物分析领域</w:t>
      </w:r>
      <w:r>
        <w:rPr>
          <w:rFonts w:hint="default" w:ascii="仿宋_GB2312" w:hAnsi="仿宋" w:eastAsia="仿宋_GB2312" w:cs="仿宋"/>
          <w:sz w:val="28"/>
          <w:szCs w:val="28"/>
          <w:lang w:val="en-US" w:eastAsia="zh-CN"/>
        </w:rPr>
        <w:t>研究</w:t>
      </w:r>
      <w:r>
        <w:rPr>
          <w:rFonts w:hint="eastAsia" w:ascii="仿宋_GB2312" w:hAnsi="仿宋" w:eastAsia="仿宋_GB2312" w:cs="仿宋"/>
          <w:sz w:val="28"/>
          <w:szCs w:val="28"/>
          <w:lang w:val="en-US" w:eastAsia="zh-CN"/>
        </w:rPr>
        <w:t>主要包括药物药物研发过程的质量研究、药物成品的化学检验，药物生产过程的质量控制，药物贮存过程的质量考察，临床药物分析，体内药物分析等研究方向。涉及范围较广泛，涵盖了药物质控、新药研制、临床药学、毒理分析、兴奋剂检测和中草药检验等工作内容。</w:t>
      </w:r>
      <w:bookmarkEnd w:id="0"/>
      <w:r>
        <w:rPr>
          <w:rFonts w:hint="eastAsia" w:ascii="仿宋_GB2312" w:hAnsi="仿宋" w:eastAsia="仿宋_GB2312" w:cs="仿宋"/>
          <w:sz w:val="28"/>
          <w:szCs w:val="28"/>
          <w:lang w:val="en-US" w:eastAsia="zh-CN"/>
        </w:rPr>
        <w:t>现代药物分析检测新技术的多样化深入的发展和推广应用，将解决一系列涵盖化学药、中药、生物技术药等质量控制所面临的关键问题，保障药品质量和安全，并有力推动医药产业的快速发展。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2.2</w:t>
      </w:r>
      <w:r>
        <w:rPr>
          <w:rFonts w:hint="eastAsia" w:ascii="仿宋_GB2312" w:hAnsi="仿宋" w:eastAsia="仿宋_GB2312" w:cs="仿宋"/>
          <w:sz w:val="28"/>
          <w:szCs w:val="28"/>
        </w:rPr>
        <w:t>师资队伍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bookmarkStart w:id="1" w:name="_Hlk93927052"/>
      <w:r>
        <w:rPr>
          <w:rFonts w:hint="eastAsia" w:ascii="仿宋_GB2312" w:hAnsi="仿宋" w:eastAsia="仿宋_GB2312" w:cs="仿宋"/>
          <w:sz w:val="28"/>
          <w:szCs w:val="28"/>
          <w:lang w:val="en-US" w:eastAsia="zh-CN"/>
        </w:rPr>
        <w:t>本学位点</w:t>
      </w:r>
      <w:r>
        <w:rPr>
          <w:rFonts w:hint="eastAsia" w:ascii="仿宋_GB2312" w:hAnsi="仿宋" w:eastAsia="仿宋_GB2312" w:cs="仿宋"/>
          <w:sz w:val="28"/>
          <w:szCs w:val="28"/>
        </w:rPr>
        <w:t>师资力量较为雄厚,现有教职员工131人，包括专任教师100人（含研究系列10人），实验技术人员21人（包括教辅17人、科辅4人），行政管理人员5人，辅导员5人。专任教师中正高级职称26人（26%），副高级职称46人（46%），博士生导师10名（10%），硕士生导师59名（59%），具有博士学位者81名（81%），境外留学经历教师29名（29%）。师资队伍中享受国务院特殊津贴专家4名，百千万人才工程国家级人选1名，教育部新世纪优秀人才支持计划1名，爱思唯尔（Elsevier）高被引学者入选1人（2014-2019年），福建省高校教学名师2名，福建省科技创新领军人才4名，福建省海西产业人才高地领军人才1名，福建省“百千万人才”工程人选6名，福建省雏鹰计划青年拔尖人才1名，福建省青年拔尖创新人才2名，福建省闽江学者特聘教授1名。福建省高等学校新世纪优秀人才支持计划8人，福建省高校杰出青年科研人才培育计划8人。</w:t>
      </w:r>
    </w:p>
    <w:bookmarkEnd w:id="1"/>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2.3</w:t>
      </w:r>
      <w:r>
        <w:rPr>
          <w:rFonts w:hint="eastAsia" w:ascii="仿宋_GB2312" w:hAnsi="仿宋" w:eastAsia="仿宋_GB2312" w:cs="仿宋"/>
          <w:sz w:val="28"/>
          <w:szCs w:val="28"/>
        </w:rPr>
        <w:t>科学研究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本学位点</w:t>
      </w:r>
      <w:r>
        <w:rPr>
          <w:rFonts w:hint="eastAsia" w:ascii="仿宋_GB2312" w:hAnsi="仿宋" w:eastAsia="仿宋_GB2312" w:cs="仿宋"/>
          <w:sz w:val="28"/>
          <w:szCs w:val="28"/>
        </w:rPr>
        <w:t>积极开展科学研究工作，在生物药物（抗体药物）研究、神经精神药物研究、抗肿瘤药物研究、纳米生物传感器与纳米生物医药材料研究等领域形成了显著特色。2017-2021年，新增获批省部级以上科研项目154项，其中国家“重大新药创制”科技重大专项1项，国家自然科学基金27项，总科研经费3441余万元；发表研究论文533篇，其中SCI论文362篇；获得英国发明专利1项，我国发明专利87项、实用新型专利2项；获福建医学科技奖二等奖1项、三等奖1项；正在开展国家化药1类品种钩吻素子（原研药）临床前研究，有望明年获得临床研究批件。努力开展开创性、系列性药学科学研究，在药理学、生物技术药物学、天然药物化学、药物分析学、纳米仿生材料等某些研究领域取得重要进展，连续6年入选爱思唯尔中国高被引榜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2.4</w:t>
      </w:r>
      <w:r>
        <w:rPr>
          <w:rFonts w:hint="eastAsia" w:ascii="仿宋_GB2312" w:hAnsi="仿宋" w:eastAsia="仿宋_GB2312" w:cs="仿宋"/>
          <w:sz w:val="28"/>
          <w:szCs w:val="28"/>
        </w:rPr>
        <w:t>教学科研支撑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32"/>
          <w:szCs w:val="32"/>
        </w:rPr>
      </w:pPr>
      <w:r>
        <w:rPr>
          <w:rFonts w:hint="eastAsia" w:ascii="仿宋_GB2312" w:hAnsi="仿宋" w:eastAsia="仿宋_GB2312" w:cs="仿宋"/>
          <w:sz w:val="28"/>
          <w:szCs w:val="28"/>
          <w:lang w:val="en-US" w:eastAsia="zh-CN"/>
        </w:rPr>
        <w:t>本学位点</w:t>
      </w:r>
      <w:r>
        <w:rPr>
          <w:rFonts w:hint="eastAsia" w:ascii="仿宋_GB2312" w:hAnsi="仿宋" w:eastAsia="仿宋_GB2312" w:cs="仿宋"/>
          <w:sz w:val="28"/>
          <w:szCs w:val="28"/>
        </w:rPr>
        <w:t>拥有肿瘤免疫药物开发国家地方联合工程研究中心、海西免疫治疗产学研2011协同创新中心、福建省天然药物药理学重点实验室、福建省新药安全性评价中心、福建省药物靶点发现与结构功能研究重点实验室、福建省生物医药工程研究中心、福建省高校纳米医药技术重点实验室等科技平台，以及免疫治疗研究院、蛇毒研究所等2个校级研究机构；目前正在建设一个从新药发现、工程化制备、临床前药学和药理学以及安全性评价研究到临床研究为一体的“福建省新药研发中心”，为本学科创新型人才培养、新药研发、药学科技创新与创造研究提供了有力的技术支撑和平台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奖助体系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随着研究生收费制度的实行，我校按照“新生新办法、老生老办法”的原则调整完善研究生奖助体系，多渠道筹集经费，提高研究生奖助学金。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.1 奖学金设立及发放情况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我校研究生奖学金主要分为政府、学校、企事业单位捐赠设奖等类别，依据奖学金的评选条例及办法评定和发放奖学金，详见表28。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2021</w:t>
      </w:r>
      <w:r>
        <w:rPr>
          <w:rFonts w:hint="eastAsia" w:ascii="仿宋_GB2312" w:hAnsi="仿宋" w:eastAsia="仿宋_GB2312" w:cs="仿宋"/>
          <w:sz w:val="28"/>
          <w:szCs w:val="28"/>
        </w:rPr>
        <w:t>年共有</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名</w:t>
      </w:r>
      <w:r>
        <w:rPr>
          <w:rFonts w:hint="eastAsia" w:ascii="仿宋_GB2312" w:hAnsi="仿宋" w:eastAsia="仿宋_GB2312" w:cs="仿宋"/>
          <w:sz w:val="28"/>
          <w:szCs w:val="28"/>
          <w:lang w:val="en-US" w:eastAsia="zh-CN"/>
        </w:rPr>
        <w:t>专硕</w:t>
      </w:r>
      <w:r>
        <w:rPr>
          <w:rFonts w:hint="eastAsia" w:ascii="仿宋_GB2312" w:hAnsi="仿宋" w:eastAsia="仿宋_GB2312" w:cs="仿宋"/>
          <w:sz w:val="28"/>
          <w:szCs w:val="28"/>
        </w:rPr>
        <w:t>获国家奖学金</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资助共4万元</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17</w:t>
      </w:r>
      <w:r>
        <w:rPr>
          <w:rFonts w:hint="eastAsia" w:ascii="仿宋_GB2312" w:hAnsi="仿宋" w:eastAsia="仿宋_GB2312" w:cs="仿宋"/>
          <w:sz w:val="28"/>
          <w:szCs w:val="28"/>
        </w:rPr>
        <w:t>名</w:t>
      </w:r>
      <w:r>
        <w:rPr>
          <w:rFonts w:hint="eastAsia" w:ascii="仿宋_GB2312" w:hAnsi="仿宋" w:eastAsia="仿宋_GB2312" w:cs="仿宋"/>
          <w:sz w:val="28"/>
          <w:szCs w:val="28"/>
          <w:lang w:val="en-US" w:eastAsia="zh-CN"/>
        </w:rPr>
        <w:t>专硕</w:t>
      </w:r>
      <w:r>
        <w:rPr>
          <w:rFonts w:hint="eastAsia" w:ascii="仿宋_GB2312" w:hAnsi="仿宋" w:eastAsia="仿宋_GB2312" w:cs="仿宋"/>
          <w:sz w:val="28"/>
          <w:szCs w:val="28"/>
        </w:rPr>
        <w:t>获学业奖学金</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总计5.15万元</w:t>
      </w:r>
      <w:r>
        <w:rPr>
          <w:rFonts w:hint="eastAsia" w:ascii="仿宋_GB2312" w:hAnsi="仿宋" w:eastAsia="仿宋_GB2312"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表28  研究生奖学金体系一览表</w:t>
      </w:r>
    </w:p>
    <w:tbl>
      <w:tblPr>
        <w:tblStyle w:val="3"/>
        <w:tblW w:w="8280" w:type="dxa"/>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Layout w:type="fixed"/>
        <w:tblCellMar>
          <w:top w:w="0" w:type="dxa"/>
          <w:left w:w="108" w:type="dxa"/>
          <w:bottom w:w="0" w:type="dxa"/>
          <w:right w:w="108" w:type="dxa"/>
        </w:tblCellMar>
      </w:tblPr>
      <w:tblGrid>
        <w:gridCol w:w="720"/>
        <w:gridCol w:w="427"/>
        <w:gridCol w:w="1013"/>
        <w:gridCol w:w="900"/>
        <w:gridCol w:w="1080"/>
        <w:gridCol w:w="1080"/>
        <w:gridCol w:w="1440"/>
        <w:gridCol w:w="16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bottom w:val="single" w:color="FFFFFF" w:sz="4" w:space="0"/>
            </w:tcBorders>
            <w:shd w:val="clear" w:color="auto" w:fill="CCECFF"/>
            <w:vAlign w:val="center"/>
          </w:tcPr>
          <w:p>
            <w:pPr>
              <w:widowControl/>
              <w:jc w:val="center"/>
              <w:textAlignment w:val="center"/>
              <w:rPr>
                <w:rFonts w:hint="eastAsia" w:ascii="仿宋_GB2312" w:hAnsi="宋体" w:eastAsia="仿宋_GB2312" w:cs="宋体"/>
                <w:color w:val="auto"/>
                <w:kern w:val="0"/>
                <w:szCs w:val="21"/>
                <w:highlight w:val="none"/>
              </w:rPr>
            </w:pPr>
            <w:r>
              <w:rPr>
                <w:rFonts w:hint="eastAsia" w:ascii="宋体" w:hAnsi="宋体" w:cs="宋体"/>
                <w:b/>
                <w:color w:val="auto"/>
                <w:kern w:val="0"/>
                <w:szCs w:val="21"/>
                <w:highlight w:val="none"/>
              </w:rPr>
              <w:t>奖励性质</w:t>
            </w:r>
          </w:p>
        </w:tc>
        <w:tc>
          <w:tcPr>
            <w:tcW w:w="427"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序号</w:t>
            </w:r>
          </w:p>
        </w:tc>
        <w:tc>
          <w:tcPr>
            <w:tcW w:w="1013"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奖学金名称</w:t>
            </w:r>
          </w:p>
        </w:tc>
        <w:tc>
          <w:tcPr>
            <w:tcW w:w="900"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设奖</w:t>
            </w:r>
          </w:p>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单位</w:t>
            </w:r>
          </w:p>
        </w:tc>
        <w:tc>
          <w:tcPr>
            <w:tcW w:w="1080"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奖励对象</w:t>
            </w:r>
          </w:p>
        </w:tc>
        <w:tc>
          <w:tcPr>
            <w:tcW w:w="1080"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奖励名额</w:t>
            </w:r>
          </w:p>
        </w:tc>
        <w:tc>
          <w:tcPr>
            <w:tcW w:w="1440"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条件与特点</w:t>
            </w:r>
          </w:p>
        </w:tc>
        <w:tc>
          <w:tcPr>
            <w:tcW w:w="1620" w:type="dxa"/>
            <w:tcBorders>
              <w:bottom w:val="single" w:color="FFFFFF" w:sz="4" w:space="0"/>
            </w:tcBorders>
            <w:shd w:val="clear" w:color="auto" w:fill="CCECFF"/>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rPr>
              <w:t>奖励金额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shd w:val="clear" w:color="auto" w:fill="EAEAEA"/>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政府设奖</w:t>
            </w:r>
          </w:p>
        </w:tc>
        <w:tc>
          <w:tcPr>
            <w:tcW w:w="427"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013"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国家奖学金</w:t>
            </w:r>
          </w:p>
        </w:tc>
        <w:tc>
          <w:tcPr>
            <w:tcW w:w="900" w:type="dxa"/>
            <w:shd w:val="clear" w:color="auto" w:fill="EAEAEA"/>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财政部</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教育部</w:t>
            </w:r>
          </w:p>
        </w:tc>
        <w:tc>
          <w:tcPr>
            <w:tcW w:w="1080" w:type="dxa"/>
            <w:shd w:val="clear" w:color="auto" w:fill="EAEAEA"/>
            <w:vAlign w:val="center"/>
          </w:tcPr>
          <w:p>
            <w:pPr>
              <w:widowControl/>
              <w:jc w:val="left"/>
              <w:textAlignment w:val="center"/>
              <w:rPr>
                <w:rFonts w:hint="default" w:ascii="宋体" w:hAnsi="宋体" w:cs="宋体" w:eastAsiaTheme="minorEastAsia"/>
                <w:color w:val="auto"/>
                <w:szCs w:val="21"/>
                <w:highlight w:val="none"/>
                <w:lang w:val="en-US" w:eastAsia="zh-CN"/>
              </w:rPr>
            </w:pPr>
            <w:r>
              <w:rPr>
                <w:rFonts w:hint="eastAsia" w:ascii="宋体" w:hAnsi="宋体" w:cs="宋体"/>
                <w:color w:val="auto"/>
                <w:kern w:val="0"/>
                <w:szCs w:val="21"/>
                <w:highlight w:val="none"/>
                <w:lang w:val="en-US" w:eastAsia="zh-CN"/>
              </w:rPr>
              <w:t>全体全日制在校研究生</w:t>
            </w:r>
          </w:p>
        </w:tc>
        <w:tc>
          <w:tcPr>
            <w:tcW w:w="108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按照上级下拨名额</w:t>
            </w:r>
          </w:p>
        </w:tc>
        <w:tc>
          <w:tcPr>
            <w:tcW w:w="144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在学术创新、参与班级活动等突出者</w:t>
            </w:r>
          </w:p>
        </w:tc>
        <w:tc>
          <w:tcPr>
            <w:tcW w:w="162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博士3万元/人；硕士2万元/人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bottom w:val="single" w:color="FFFFFF" w:sz="4" w:space="0"/>
            </w:tcBorders>
            <w:shd w:val="clear" w:color="auto" w:fill="CCECFF"/>
            <w:vAlign w:val="center"/>
          </w:tcPr>
          <w:p>
            <w:pPr>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rPr>
              <w:t>学校设奖</w:t>
            </w:r>
          </w:p>
        </w:tc>
        <w:tc>
          <w:tcPr>
            <w:tcW w:w="427"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rPr>
              <w:t>2</w:t>
            </w:r>
          </w:p>
        </w:tc>
        <w:tc>
          <w:tcPr>
            <w:tcW w:w="1013"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rPr>
              <w:t>研究生学业奖学金</w:t>
            </w:r>
          </w:p>
        </w:tc>
        <w:tc>
          <w:tcPr>
            <w:tcW w:w="900"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rPr>
              <w:t>福建医科大学</w:t>
            </w:r>
          </w:p>
        </w:tc>
        <w:tc>
          <w:tcPr>
            <w:tcW w:w="1080"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color w:val="auto"/>
                <w:szCs w:val="21"/>
                <w:highlight w:val="none"/>
              </w:rPr>
              <w:t>入学满一学年的全日制研究生</w:t>
            </w:r>
          </w:p>
        </w:tc>
        <w:tc>
          <w:tcPr>
            <w:tcW w:w="1080"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年级总人数的50%</w:t>
            </w:r>
          </w:p>
        </w:tc>
        <w:tc>
          <w:tcPr>
            <w:tcW w:w="1440"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rPr>
              <w:t>全日制研究生</w:t>
            </w:r>
          </w:p>
        </w:tc>
        <w:tc>
          <w:tcPr>
            <w:tcW w:w="1620"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一等5000元/人，二等3500元/人，三等2500元/人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tcBorders>
              <w:bottom w:val="single" w:color="FFFFFF" w:sz="4" w:space="0"/>
            </w:tcBorders>
            <w:shd w:val="clear" w:color="auto" w:fill="CCECFF"/>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学校设奖</w:t>
            </w:r>
          </w:p>
        </w:tc>
        <w:tc>
          <w:tcPr>
            <w:tcW w:w="427"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013"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大学生创新创业奖学金</w:t>
            </w:r>
          </w:p>
        </w:tc>
        <w:tc>
          <w:tcPr>
            <w:tcW w:w="900" w:type="dxa"/>
            <w:tcBorders>
              <w:bottom w:val="single" w:color="FFFFFF" w:sz="4" w:space="0"/>
            </w:tcBorders>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福建医科大学</w:t>
            </w:r>
          </w:p>
        </w:tc>
        <w:tc>
          <w:tcPr>
            <w:tcW w:w="1080" w:type="dxa"/>
            <w:tcBorders>
              <w:bottom w:val="single" w:color="FFFFFF" w:sz="4" w:space="0"/>
            </w:tcBorders>
            <w:shd w:val="clear" w:color="auto" w:fill="CCECFF"/>
            <w:vAlign w:val="center"/>
          </w:tcPr>
          <w:p>
            <w:pPr>
              <w:widowControl/>
              <w:jc w:val="left"/>
              <w:textAlignment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全体在校研究生</w:t>
            </w:r>
          </w:p>
        </w:tc>
        <w:tc>
          <w:tcPr>
            <w:tcW w:w="1080" w:type="dxa"/>
            <w:tcBorders>
              <w:bottom w:val="single" w:color="FFFFFF" w:sz="4" w:space="0"/>
            </w:tcBorders>
            <w:shd w:val="clear" w:color="auto" w:fill="CCECFF"/>
            <w:vAlign w:val="center"/>
          </w:tcPr>
          <w:p>
            <w:pPr>
              <w:widowControl/>
              <w:jc w:val="left"/>
              <w:textAlignment w:val="center"/>
              <w:rPr>
                <w:rFonts w:hint="eastAsia" w:ascii="宋体" w:hAnsi="宋体" w:cs="宋体"/>
                <w:vanish/>
                <w:color w:val="auto"/>
                <w:kern w:val="0"/>
                <w:szCs w:val="21"/>
                <w:highlight w:val="none"/>
                <w:lang w:val="en-US" w:eastAsia="zh-CN"/>
              </w:rPr>
            </w:pPr>
            <w:r>
              <w:rPr>
                <w:rFonts w:hint="eastAsia" w:ascii="宋体" w:hAnsi="宋体" w:cs="宋体"/>
                <w:vanish/>
                <w:color w:val="auto"/>
                <w:kern w:val="0"/>
                <w:szCs w:val="21"/>
                <w:highlight w:val="none"/>
                <w:lang w:val="en-US" w:eastAsia="zh-CN"/>
              </w:rPr>
              <w:t>30303330</w:t>
            </w:r>
          </w:p>
          <w:p>
            <w:pPr>
              <w:bidi w:val="0"/>
              <w:jc w:val="left"/>
              <w:rPr>
                <w:rFonts w:hint="default" w:eastAsiaTheme="minorEastAsia"/>
                <w:lang w:val="en-US" w:eastAsia="zh-CN"/>
              </w:rPr>
            </w:pPr>
            <w:r>
              <w:rPr>
                <w:rFonts w:hint="eastAsia" w:ascii="宋体" w:hAnsi="宋体" w:cs="宋体"/>
                <w:color w:val="auto"/>
                <w:kern w:val="0"/>
                <w:szCs w:val="21"/>
                <w:highlight w:val="none"/>
                <w:lang w:val="en-US" w:eastAsia="zh-CN"/>
              </w:rPr>
              <w:t>个人3</w:t>
            </w:r>
            <w:r>
              <w:rPr>
                <w:rFonts w:hint="eastAsia" w:ascii="宋体" w:hAnsi="宋体" w:cs="宋体"/>
                <w:color w:val="auto"/>
                <w:kern w:val="0"/>
                <w:szCs w:val="21"/>
                <w:highlight w:val="none"/>
              </w:rPr>
              <w:t>0名</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团队10支</w:t>
            </w:r>
          </w:p>
        </w:tc>
        <w:tc>
          <w:tcPr>
            <w:tcW w:w="1440" w:type="dxa"/>
            <w:tcBorders>
              <w:bottom w:val="single" w:color="FFFFFF" w:sz="4" w:space="0"/>
            </w:tcBorders>
            <w:shd w:val="clear" w:color="auto" w:fill="CCECFF"/>
            <w:vAlign w:val="center"/>
          </w:tcPr>
          <w:p>
            <w:pPr>
              <w:widowControl/>
              <w:jc w:val="left"/>
              <w:textAlignment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创新创业实践中成绩优秀的研究生个人和团队</w:t>
            </w:r>
          </w:p>
        </w:tc>
        <w:tc>
          <w:tcPr>
            <w:tcW w:w="1620" w:type="dxa"/>
            <w:tcBorders>
              <w:bottom w:val="single" w:color="FFFFFF" w:sz="4" w:space="0"/>
            </w:tcBorders>
            <w:shd w:val="clear" w:color="auto" w:fill="CCECFF"/>
            <w:vAlign w:val="center"/>
          </w:tcPr>
          <w:p>
            <w:pPr>
              <w:widowControl/>
              <w:jc w:val="left"/>
              <w:textAlignment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2000元/人，5000人/团队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shd w:val="clear" w:color="auto" w:fill="EAEAEA"/>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企事业单位设奖</w:t>
            </w:r>
          </w:p>
        </w:tc>
        <w:tc>
          <w:tcPr>
            <w:tcW w:w="427" w:type="dxa"/>
            <w:shd w:val="clear" w:color="auto" w:fill="EAEAEA"/>
            <w:vAlign w:val="center"/>
          </w:tcPr>
          <w:p>
            <w:pPr>
              <w:widowControl/>
              <w:jc w:val="left"/>
              <w:textAlignment w:val="center"/>
              <w:rPr>
                <w:rFonts w:hint="eastAsia" w:ascii="宋体" w:hAnsi="宋体" w:cs="宋体" w:eastAsiaTheme="minorEastAsia"/>
                <w:color w:val="auto"/>
                <w:szCs w:val="21"/>
                <w:highlight w:val="none"/>
                <w:lang w:eastAsia="zh-CN"/>
              </w:rPr>
            </w:pPr>
            <w:r>
              <w:rPr>
                <w:rFonts w:hint="eastAsia" w:ascii="宋体" w:hAnsi="宋体" w:cs="宋体"/>
                <w:color w:val="auto"/>
                <w:kern w:val="0"/>
                <w:szCs w:val="21"/>
                <w:highlight w:val="none"/>
                <w:lang w:val="en-US" w:eastAsia="zh-CN"/>
              </w:rPr>
              <w:t>4</w:t>
            </w:r>
          </w:p>
        </w:tc>
        <w:tc>
          <w:tcPr>
            <w:tcW w:w="1013"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协和奖学金</w:t>
            </w:r>
          </w:p>
        </w:tc>
        <w:tc>
          <w:tcPr>
            <w:tcW w:w="90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福建医科大学附属协和医院</w:t>
            </w:r>
          </w:p>
        </w:tc>
        <w:tc>
          <w:tcPr>
            <w:tcW w:w="108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color w:val="auto"/>
                <w:szCs w:val="21"/>
                <w:highlight w:val="none"/>
              </w:rPr>
              <w:t>入学满一学年的全日制研究生</w:t>
            </w:r>
          </w:p>
        </w:tc>
        <w:tc>
          <w:tcPr>
            <w:tcW w:w="108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10名</w:t>
            </w:r>
          </w:p>
        </w:tc>
        <w:tc>
          <w:tcPr>
            <w:tcW w:w="144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成绩优秀，社会贡献突出等</w:t>
            </w:r>
          </w:p>
        </w:tc>
        <w:tc>
          <w:tcPr>
            <w:tcW w:w="1620" w:type="dxa"/>
            <w:shd w:val="clear" w:color="auto" w:fill="EAEAE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6000</w:t>
            </w:r>
            <w:r>
              <w:rPr>
                <w:rStyle w:val="5"/>
                <w:rFonts w:hint="default"/>
                <w:color w:val="auto"/>
                <w:highlight w:val="none"/>
              </w:rPr>
              <w:t>元</w:t>
            </w:r>
            <w:r>
              <w:rPr>
                <w:rStyle w:val="6"/>
                <w:color w:val="auto"/>
                <w:highlight w:val="none"/>
              </w:rPr>
              <w:t>/</w:t>
            </w:r>
            <w:r>
              <w:rPr>
                <w:rStyle w:val="5"/>
                <w:rFonts w:hint="default"/>
                <w:color w:val="auto"/>
                <w:highlight w:val="none"/>
              </w:rPr>
              <w:t>人,其中特别奖为10000元</w:t>
            </w:r>
            <w:r>
              <w:rPr>
                <w:rStyle w:val="6"/>
                <w:color w:val="auto"/>
                <w:highlight w:val="none"/>
              </w:rPr>
              <w:t>/</w:t>
            </w:r>
            <w:r>
              <w:rPr>
                <w:rStyle w:val="5"/>
                <w:rFonts w:hint="default"/>
                <w:color w:val="auto"/>
                <w:highlight w:val="none"/>
              </w:rPr>
              <w:t>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shd w:val="clear" w:color="auto" w:fill="CCECFF"/>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企事业单位设奖</w:t>
            </w:r>
          </w:p>
        </w:tc>
        <w:tc>
          <w:tcPr>
            <w:tcW w:w="427" w:type="dxa"/>
            <w:shd w:val="clear" w:color="auto" w:fill="CCECFF"/>
            <w:vAlign w:val="center"/>
          </w:tcPr>
          <w:p>
            <w:pPr>
              <w:widowControl/>
              <w:jc w:val="left"/>
              <w:textAlignment w:val="center"/>
              <w:rPr>
                <w:rFonts w:hint="eastAsia" w:ascii="宋体" w:hAnsi="宋体" w:cs="宋体" w:eastAsiaTheme="minorEastAsia"/>
                <w:color w:val="auto"/>
                <w:szCs w:val="21"/>
                <w:highlight w:val="none"/>
                <w:lang w:eastAsia="zh-CN"/>
              </w:rPr>
            </w:pPr>
            <w:r>
              <w:rPr>
                <w:rFonts w:hint="eastAsia" w:ascii="宋体" w:hAnsi="宋体" w:cs="宋体"/>
                <w:color w:val="auto"/>
                <w:kern w:val="0"/>
                <w:szCs w:val="21"/>
                <w:highlight w:val="none"/>
                <w:lang w:val="en-US" w:eastAsia="zh-CN"/>
              </w:rPr>
              <w:t>5</w:t>
            </w:r>
          </w:p>
        </w:tc>
        <w:tc>
          <w:tcPr>
            <w:tcW w:w="1013" w:type="dxa"/>
            <w:shd w:val="clear" w:color="auto" w:fill="CCECFF"/>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联邦医学教育奖学金</w:t>
            </w:r>
          </w:p>
        </w:tc>
        <w:tc>
          <w:tcPr>
            <w:tcW w:w="900" w:type="dxa"/>
            <w:shd w:val="clear" w:color="auto" w:fill="CCECFF"/>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联邦制药公司</w:t>
            </w:r>
          </w:p>
        </w:tc>
        <w:tc>
          <w:tcPr>
            <w:tcW w:w="1080" w:type="dxa"/>
            <w:shd w:val="clear" w:color="auto" w:fill="CCECFF"/>
            <w:vAlign w:val="center"/>
          </w:tcPr>
          <w:p>
            <w:pPr>
              <w:widowControl/>
              <w:jc w:val="left"/>
              <w:textAlignment w:val="center"/>
              <w:rPr>
                <w:rFonts w:hint="eastAsia" w:ascii="宋体" w:hAnsi="宋体" w:cs="宋体"/>
                <w:color w:val="auto"/>
                <w:szCs w:val="21"/>
                <w:highlight w:val="none"/>
              </w:rPr>
            </w:pPr>
            <w:r>
              <w:rPr>
                <w:rFonts w:hint="eastAsia"/>
                <w:color w:val="auto"/>
                <w:szCs w:val="21"/>
                <w:highlight w:val="none"/>
              </w:rPr>
              <w:t>入学满一学年的全日制研究生</w:t>
            </w:r>
          </w:p>
        </w:tc>
        <w:tc>
          <w:tcPr>
            <w:tcW w:w="1080" w:type="dxa"/>
            <w:shd w:val="clear" w:color="auto" w:fill="CCECFF"/>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20名</w:t>
            </w:r>
          </w:p>
        </w:tc>
        <w:tc>
          <w:tcPr>
            <w:tcW w:w="1440" w:type="dxa"/>
            <w:shd w:val="clear" w:color="auto" w:fill="CCECFF"/>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成绩优秀，社会贡献突出等</w:t>
            </w:r>
          </w:p>
        </w:tc>
        <w:tc>
          <w:tcPr>
            <w:tcW w:w="1620" w:type="dxa"/>
            <w:shd w:val="clear" w:color="auto" w:fill="CCECFF"/>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3000</w:t>
            </w:r>
            <w:r>
              <w:rPr>
                <w:rFonts w:hint="eastAsia" w:ascii="宋体" w:hAnsi="宋体" w:cs="宋体"/>
                <w:color w:val="auto"/>
                <w:kern w:val="0"/>
                <w:szCs w:val="21"/>
                <w:highlight w:val="none"/>
              </w:rPr>
              <w:t>元</w:t>
            </w:r>
            <w:r>
              <w:rPr>
                <w:rStyle w:val="6"/>
                <w:color w:val="auto"/>
                <w:highlight w:val="none"/>
              </w:rPr>
              <w:t>/</w:t>
            </w:r>
            <w:r>
              <w:rPr>
                <w:rStyle w:val="5"/>
                <w:rFonts w:hint="default"/>
                <w:color w:val="auto"/>
                <w:highlight w:val="none"/>
              </w:rPr>
              <w:t>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CCECFF"/>
          <w:tblCellMar>
            <w:top w:w="0" w:type="dxa"/>
            <w:left w:w="108" w:type="dxa"/>
            <w:bottom w:w="0" w:type="dxa"/>
            <w:right w:w="108" w:type="dxa"/>
          </w:tblCellMar>
        </w:tblPrEx>
        <w:tc>
          <w:tcPr>
            <w:tcW w:w="720" w:type="dxa"/>
            <w:shd w:val="clear" w:color="auto" w:fill="CCECFF"/>
            <w:vAlign w:val="center"/>
          </w:tcPr>
          <w:p>
            <w:pPr>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rPr>
              <w:t>企事业单位设奖</w:t>
            </w:r>
          </w:p>
        </w:tc>
        <w:tc>
          <w:tcPr>
            <w:tcW w:w="427" w:type="dxa"/>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6</w:t>
            </w:r>
          </w:p>
        </w:tc>
        <w:tc>
          <w:tcPr>
            <w:tcW w:w="1013" w:type="dxa"/>
            <w:shd w:val="clear" w:color="auto" w:fill="CCECFF"/>
            <w:vAlign w:val="center"/>
          </w:tcPr>
          <w:p>
            <w:pPr>
              <w:widowControl/>
              <w:jc w:val="left"/>
              <w:textAlignment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大博奖学金</w:t>
            </w:r>
          </w:p>
        </w:tc>
        <w:tc>
          <w:tcPr>
            <w:tcW w:w="900" w:type="dxa"/>
            <w:shd w:val="clear" w:color="auto" w:fill="CCECFF"/>
            <w:vAlign w:val="center"/>
          </w:tcPr>
          <w:p>
            <w:pPr>
              <w:widowControl/>
              <w:jc w:val="left"/>
              <w:textAlignment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大博医疗科技股份有限公司</w:t>
            </w:r>
          </w:p>
        </w:tc>
        <w:tc>
          <w:tcPr>
            <w:tcW w:w="1080" w:type="dxa"/>
            <w:shd w:val="clear" w:color="auto" w:fill="CCECFF"/>
            <w:vAlign w:val="center"/>
          </w:tcPr>
          <w:p>
            <w:pPr>
              <w:widowControl/>
              <w:jc w:val="left"/>
              <w:textAlignment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全体全日制在校研究生</w:t>
            </w:r>
          </w:p>
        </w:tc>
        <w:tc>
          <w:tcPr>
            <w:tcW w:w="1080" w:type="dxa"/>
            <w:shd w:val="clear" w:color="auto" w:fill="CCECFF"/>
            <w:vAlign w:val="center"/>
          </w:tcPr>
          <w:p>
            <w:pPr>
              <w:widowControl/>
              <w:jc w:val="left"/>
              <w:textAlignment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大博创新奖5</w:t>
            </w:r>
            <w:r>
              <w:rPr>
                <w:rFonts w:hint="eastAsia" w:ascii="宋体" w:hAnsi="宋体" w:cs="宋体"/>
                <w:color w:val="auto"/>
                <w:kern w:val="0"/>
                <w:szCs w:val="21"/>
                <w:highlight w:val="none"/>
              </w:rPr>
              <w:t>名</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大博优秀奖2名</w:t>
            </w:r>
          </w:p>
        </w:tc>
        <w:tc>
          <w:tcPr>
            <w:tcW w:w="1440" w:type="dxa"/>
            <w:shd w:val="clear" w:color="auto" w:fill="CCECFF"/>
            <w:vAlign w:val="center"/>
          </w:tcPr>
          <w:p>
            <w:pPr>
              <w:widowControl/>
              <w:jc w:val="left"/>
              <w:textAlignment w:val="center"/>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科研创新能力突出，成绩显著者</w:t>
            </w:r>
          </w:p>
        </w:tc>
        <w:tc>
          <w:tcPr>
            <w:tcW w:w="1620" w:type="dxa"/>
            <w:shd w:val="clear" w:color="auto" w:fill="CCECFF"/>
            <w:vAlign w:val="center"/>
          </w:tcPr>
          <w:p>
            <w:pPr>
              <w:widowControl/>
              <w:jc w:val="left"/>
              <w:textAlignment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00元</w:t>
            </w:r>
            <w:r>
              <w:rPr>
                <w:rStyle w:val="6"/>
                <w:color w:val="auto"/>
                <w:highlight w:val="none"/>
              </w:rPr>
              <w:t>/</w:t>
            </w:r>
            <w:r>
              <w:rPr>
                <w:rStyle w:val="5"/>
                <w:rFonts w:hint="default"/>
                <w:color w:val="auto"/>
                <w:highlight w:val="none"/>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.2 助学金设立及发放情况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我校助学金主要包括：研究生国家助学金（含国家下拨经费与学校投入经费）、研究生“三助”（助教、助研、助管）津贴、研究生学杂费减免和临时困难补助等。具体如下：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rPr>
        <w:t>定额按月发放国家助学金。学校按照层次，向基础学科倾斜的原则制定国家助学金标准，专业学位硕士</w:t>
      </w:r>
      <w:r>
        <w:rPr>
          <w:rFonts w:hint="eastAsia" w:ascii="仿宋_GB2312" w:hAnsi="仿宋" w:eastAsia="仿宋_GB2312" w:cs="仿宋"/>
          <w:sz w:val="28"/>
          <w:szCs w:val="28"/>
          <w:lang w:val="en-US" w:eastAsia="zh-CN"/>
        </w:rPr>
        <w:t>24000</w:t>
      </w:r>
      <w:r>
        <w:rPr>
          <w:rFonts w:hint="eastAsia" w:ascii="仿宋_GB2312" w:hAnsi="仿宋" w:eastAsia="仿宋_GB2312" w:cs="仿宋"/>
          <w:sz w:val="28"/>
          <w:szCs w:val="28"/>
        </w:rPr>
        <w:t>元/学年/生。20</w:t>
      </w:r>
      <w:r>
        <w:rPr>
          <w:rFonts w:hint="eastAsia" w:ascii="仿宋_GB2312" w:hAnsi="仿宋" w:eastAsia="仿宋_GB2312" w:cs="仿宋"/>
          <w:sz w:val="28"/>
          <w:szCs w:val="28"/>
          <w:lang w:val="en-US" w:eastAsia="zh-CN"/>
        </w:rPr>
        <w:t>21</w:t>
      </w:r>
      <w:r>
        <w:rPr>
          <w:rFonts w:hint="eastAsia" w:ascii="仿宋_GB2312" w:hAnsi="仿宋" w:eastAsia="仿宋_GB2312" w:cs="仿宋"/>
          <w:sz w:val="28"/>
          <w:szCs w:val="28"/>
        </w:rPr>
        <w:t>年共发放国家助学金</w:t>
      </w:r>
      <w:r>
        <w:rPr>
          <w:rFonts w:hint="eastAsia" w:ascii="仿宋_GB2312" w:hAnsi="仿宋" w:eastAsia="仿宋_GB2312" w:cs="仿宋"/>
          <w:sz w:val="28"/>
          <w:szCs w:val="28"/>
          <w:lang w:val="en-US" w:eastAsia="zh-CN"/>
        </w:rPr>
        <w:t>202</w:t>
      </w:r>
      <w:r>
        <w:rPr>
          <w:rFonts w:hint="eastAsia" w:ascii="仿宋_GB2312" w:hAnsi="仿宋" w:eastAsia="仿宋_GB2312" w:cs="仿宋"/>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设立三助岗位。</w:t>
      </w:r>
      <w:r>
        <w:rPr>
          <w:rFonts w:hint="eastAsia" w:ascii="仿宋_GB2312" w:hAnsi="仿宋" w:eastAsia="仿宋_GB2312" w:cs="仿宋"/>
          <w:sz w:val="28"/>
          <w:szCs w:val="28"/>
          <w:highlight w:val="none"/>
        </w:rPr>
        <w:t>助研津贴从导师科研经费支付，共资助</w:t>
      </w:r>
      <w:r>
        <w:rPr>
          <w:rFonts w:hint="eastAsia" w:ascii="仿宋_GB2312" w:hAnsi="仿宋" w:eastAsia="仿宋_GB2312" w:cs="仿宋"/>
          <w:sz w:val="28"/>
          <w:szCs w:val="28"/>
          <w:highlight w:val="none"/>
          <w:lang w:val="en-US" w:eastAsia="zh-CN"/>
        </w:rPr>
        <w:t>12.77</w:t>
      </w:r>
      <w:r>
        <w:rPr>
          <w:rFonts w:hint="eastAsia" w:ascii="仿宋_GB2312" w:hAnsi="仿宋" w:eastAsia="仿宋_GB2312" w:cs="仿宋"/>
          <w:sz w:val="28"/>
          <w:szCs w:val="28"/>
          <w:highlight w:val="none"/>
        </w:rPr>
        <w:t>万元</w:t>
      </w:r>
      <w:r>
        <w:rPr>
          <w:rFonts w:hint="eastAsia" w:ascii="仿宋_GB2312" w:hAnsi="仿宋" w:eastAsia="仿宋_GB2312" w:cs="仿宋"/>
          <w:sz w:val="28"/>
          <w:szCs w:val="28"/>
          <w:highlight w:val="none"/>
          <w:lang w:val="en-US" w:eastAsia="zh-CN"/>
        </w:rPr>
        <w:t>待更新</w:t>
      </w:r>
      <w:r>
        <w:rPr>
          <w:rFonts w:hint="eastAsia" w:ascii="仿宋_GB2312" w:hAnsi="仿宋" w:eastAsia="仿宋_GB2312" w:cs="仿宋"/>
          <w:sz w:val="28"/>
          <w:szCs w:val="28"/>
          <w:highlight w:val="none"/>
        </w:rPr>
        <w:t>根据教务处有关规定，我院不再单独设置助教岗位。助管岗位由学校出资，承担研究生教育及其他的管</w:t>
      </w:r>
      <w:r>
        <w:rPr>
          <w:rFonts w:hint="eastAsia" w:ascii="仿宋_GB2312" w:hAnsi="仿宋" w:eastAsia="仿宋_GB2312" w:cs="仿宋"/>
          <w:sz w:val="28"/>
          <w:szCs w:val="28"/>
        </w:rPr>
        <w:t>理辅助工作，岗位津贴为每月</w:t>
      </w:r>
      <w:r>
        <w:rPr>
          <w:rFonts w:hint="eastAsia" w:ascii="仿宋_GB2312" w:hAnsi="仿宋" w:eastAsia="仿宋_GB2312" w:cs="仿宋"/>
          <w:sz w:val="28"/>
          <w:szCs w:val="28"/>
          <w:lang w:val="en-US" w:eastAsia="zh-CN"/>
        </w:rPr>
        <w:t>720</w:t>
      </w:r>
      <w:r>
        <w:rPr>
          <w:rFonts w:hint="eastAsia" w:ascii="仿宋_GB2312" w:hAnsi="仿宋" w:eastAsia="仿宋_GB2312" w:cs="仿宋"/>
          <w:sz w:val="28"/>
          <w:szCs w:val="28"/>
        </w:rPr>
        <w:t>元，工作量每</w:t>
      </w:r>
      <w:r>
        <w:rPr>
          <w:rFonts w:hint="eastAsia" w:ascii="仿宋_GB2312" w:hAnsi="仿宋" w:eastAsia="仿宋_GB2312" w:cs="仿宋"/>
          <w:sz w:val="28"/>
          <w:szCs w:val="28"/>
          <w:lang w:val="en-US" w:eastAsia="zh-CN"/>
        </w:rPr>
        <w:t>周8-12</w:t>
      </w:r>
      <w:r>
        <w:rPr>
          <w:rFonts w:hint="eastAsia" w:ascii="仿宋_GB2312" w:hAnsi="仿宋" w:eastAsia="仿宋_GB2312" w:cs="仿宋"/>
          <w:sz w:val="28"/>
          <w:szCs w:val="28"/>
        </w:rPr>
        <w:t>小时，</w:t>
      </w:r>
      <w:r>
        <w:rPr>
          <w:rFonts w:hint="eastAsia" w:ascii="仿宋_GB2312" w:hAnsi="仿宋" w:eastAsia="仿宋_GB2312" w:cs="仿宋"/>
          <w:sz w:val="28"/>
          <w:szCs w:val="28"/>
          <w:lang w:val="en-US" w:eastAsia="zh-CN"/>
        </w:rPr>
        <w:t>另</w:t>
      </w:r>
      <w:r>
        <w:rPr>
          <w:rFonts w:hint="eastAsia" w:ascii="仿宋_GB2312" w:hAnsi="仿宋" w:eastAsia="仿宋_GB2312" w:cs="仿宋"/>
          <w:sz w:val="28"/>
          <w:szCs w:val="28"/>
        </w:rPr>
        <w:t>设立</w:t>
      </w:r>
      <w:r>
        <w:rPr>
          <w:rFonts w:hint="eastAsia" w:ascii="仿宋_GB2312" w:hAnsi="仿宋" w:eastAsia="仿宋_GB2312" w:cs="仿宋"/>
          <w:sz w:val="28"/>
          <w:szCs w:val="28"/>
          <w:lang w:val="en-US" w:eastAsia="zh-CN"/>
        </w:rPr>
        <w:t>临时勤工助学</w:t>
      </w:r>
      <w:r>
        <w:rPr>
          <w:rFonts w:hint="eastAsia" w:ascii="仿宋_GB2312" w:hAnsi="仿宋" w:eastAsia="仿宋_GB2312" w:cs="仿宋"/>
          <w:sz w:val="28"/>
          <w:szCs w:val="28"/>
        </w:rPr>
        <w:t>岗位</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2021年共资助13</w:t>
      </w:r>
      <w:r>
        <w:rPr>
          <w:rFonts w:hint="eastAsia" w:ascii="仿宋_GB2312" w:hAnsi="仿宋" w:eastAsia="仿宋_GB2312" w:cs="仿宋"/>
          <w:sz w:val="28"/>
          <w:szCs w:val="28"/>
        </w:rPr>
        <w:t>人次临时岗位发放</w:t>
      </w:r>
      <w:r>
        <w:rPr>
          <w:rFonts w:hint="eastAsia" w:ascii="仿宋_GB2312" w:hAnsi="仿宋" w:eastAsia="仿宋_GB2312" w:cs="仿宋"/>
          <w:sz w:val="28"/>
          <w:szCs w:val="28"/>
          <w:lang w:val="en-US" w:eastAsia="zh-CN"/>
        </w:rPr>
        <w:t>0.29</w:t>
      </w:r>
      <w:r>
        <w:rPr>
          <w:rFonts w:hint="eastAsia" w:ascii="仿宋_GB2312" w:hAnsi="仿宋" w:eastAsia="仿宋_GB2312" w:cs="仿宋"/>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研究生学杂费减免。我校制定了《福建医科大学家庭经济困难研究生认定工作实施细则》（闽医大[2015]34号）和《福建医科大学研究生学杂费减免实施细则》（闽医大[201</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277</w:t>
      </w:r>
      <w:r>
        <w:rPr>
          <w:rFonts w:hint="eastAsia" w:ascii="仿宋_GB2312" w:hAnsi="仿宋" w:eastAsia="仿宋_GB2312" w:cs="仿宋"/>
          <w:sz w:val="28"/>
          <w:szCs w:val="28"/>
        </w:rPr>
        <w:t>号），每学年根据研究生困难情况认定的经济特别困难研究生（占学生数5%）、一般困难研究生（占学生数15%），分别减免</w:t>
      </w:r>
      <w:r>
        <w:rPr>
          <w:rFonts w:hint="eastAsia" w:ascii="仿宋_GB2312" w:hAnsi="仿宋" w:eastAsia="仿宋_GB2312" w:cs="仿宋"/>
          <w:sz w:val="28"/>
          <w:szCs w:val="28"/>
          <w:lang w:val="en-US" w:eastAsia="zh-CN"/>
        </w:rPr>
        <w:t>8000</w:t>
      </w:r>
      <w:r>
        <w:rPr>
          <w:rFonts w:hint="eastAsia" w:ascii="仿宋_GB2312" w:hAnsi="仿宋" w:eastAsia="仿宋_GB2312" w:cs="仿宋"/>
          <w:sz w:val="28"/>
          <w:szCs w:val="28"/>
        </w:rPr>
        <w:t>元和</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000元学杂费。20</w:t>
      </w:r>
      <w:r>
        <w:rPr>
          <w:rFonts w:hint="eastAsia" w:ascii="仿宋_GB2312" w:hAnsi="仿宋" w:eastAsia="仿宋_GB2312" w:cs="仿宋"/>
          <w:sz w:val="28"/>
          <w:szCs w:val="28"/>
          <w:lang w:val="en-US" w:eastAsia="zh-CN"/>
        </w:rPr>
        <w:t>21</w:t>
      </w:r>
      <w:r>
        <w:rPr>
          <w:rFonts w:hint="eastAsia" w:ascii="仿宋_GB2312" w:hAnsi="仿宋" w:eastAsia="仿宋_GB2312" w:cs="仿宋"/>
          <w:sz w:val="28"/>
          <w:szCs w:val="28"/>
        </w:rPr>
        <w:t>年为</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名学生减免学费</w:t>
      </w:r>
      <w:r>
        <w:rPr>
          <w:rFonts w:hint="eastAsia" w:ascii="仿宋_GB2312" w:hAnsi="仿宋" w:eastAsia="仿宋_GB2312" w:cs="仿宋"/>
          <w:sz w:val="28"/>
          <w:szCs w:val="28"/>
          <w:lang w:val="en-US" w:eastAsia="zh-CN"/>
        </w:rPr>
        <w:t>1.6</w:t>
      </w:r>
      <w:r>
        <w:rPr>
          <w:rFonts w:hint="eastAsia" w:ascii="仿宋_GB2312" w:hAnsi="仿宋" w:eastAsia="仿宋_GB2312" w:cs="仿宋"/>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（4）设立</w:t>
      </w:r>
      <w:r>
        <w:rPr>
          <w:rFonts w:hint="eastAsia" w:ascii="仿宋_GB2312" w:hAnsi="仿宋" w:eastAsia="仿宋_GB2312" w:cs="仿宋"/>
          <w:sz w:val="28"/>
          <w:szCs w:val="28"/>
        </w:rPr>
        <w:t>临时困难补助，帮助家庭或者本人遭遇生病等突发事故的经济困难的研究生。学生可根据实际情况申请，临时困难补助的标准为500～1000元。</w:t>
      </w:r>
      <w:r>
        <w:rPr>
          <w:rFonts w:hint="eastAsia" w:ascii="仿宋_GB2312" w:hAnsi="仿宋" w:eastAsia="仿宋_GB2312" w:cs="仿宋"/>
          <w:sz w:val="28"/>
          <w:szCs w:val="28"/>
          <w:lang w:val="en-US" w:eastAsia="zh-CN"/>
        </w:rPr>
        <w:t>2021</w:t>
      </w:r>
      <w:r>
        <w:rPr>
          <w:rFonts w:hint="eastAsia" w:ascii="仿宋_GB2312" w:hAnsi="仿宋" w:eastAsia="仿宋_GB2312" w:cs="仿宋"/>
          <w:sz w:val="28"/>
          <w:szCs w:val="28"/>
        </w:rPr>
        <w:t>年资助了</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人次共</w:t>
      </w:r>
      <w:r>
        <w:rPr>
          <w:rFonts w:hint="eastAsia" w:ascii="仿宋_GB2312" w:hAnsi="仿宋" w:eastAsia="仿宋_GB2312" w:cs="仿宋"/>
          <w:sz w:val="28"/>
          <w:szCs w:val="28"/>
          <w:lang w:val="en-US" w:eastAsia="zh-CN"/>
        </w:rPr>
        <w:t>0.18</w:t>
      </w:r>
      <w:r>
        <w:rPr>
          <w:rFonts w:hint="eastAsia" w:ascii="仿宋_GB2312" w:hAnsi="仿宋" w:eastAsia="仿宋_GB2312" w:cs="仿宋"/>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（5）发放</w:t>
      </w:r>
      <w:r>
        <w:rPr>
          <w:rFonts w:hint="eastAsia" w:ascii="仿宋_GB2312" w:hAnsi="仿宋" w:eastAsia="仿宋_GB2312" w:cs="仿宋"/>
          <w:sz w:val="28"/>
          <w:szCs w:val="28"/>
        </w:rPr>
        <w:t>临近毕业还面对求职毕业生设立求职补贴，补贴标准为</w:t>
      </w:r>
      <w:r>
        <w:rPr>
          <w:rFonts w:hint="eastAsia" w:ascii="仿宋_GB2312" w:hAnsi="仿宋" w:eastAsia="仿宋_GB2312" w:cs="仿宋"/>
          <w:sz w:val="28"/>
          <w:szCs w:val="28"/>
          <w:lang w:val="en-US" w:eastAsia="zh-CN"/>
        </w:rPr>
        <w:t>2000</w:t>
      </w:r>
      <w:r>
        <w:rPr>
          <w:rFonts w:hint="eastAsia" w:ascii="仿宋_GB2312" w:hAnsi="仿宋" w:eastAsia="仿宋_GB2312" w:cs="仿宋"/>
          <w:sz w:val="28"/>
          <w:szCs w:val="28"/>
        </w:rPr>
        <w:t>元。</w:t>
      </w:r>
      <w:r>
        <w:rPr>
          <w:rFonts w:hint="eastAsia" w:ascii="仿宋_GB2312" w:hAnsi="仿宋" w:eastAsia="仿宋_GB2312" w:cs="仿宋"/>
          <w:sz w:val="28"/>
          <w:szCs w:val="28"/>
          <w:lang w:val="en-US" w:eastAsia="zh-CN"/>
        </w:rPr>
        <w:t xml:space="preserve"> 2021</w:t>
      </w:r>
      <w:r>
        <w:rPr>
          <w:rFonts w:hint="eastAsia" w:ascii="仿宋_GB2312" w:hAnsi="仿宋" w:eastAsia="仿宋_GB2312" w:cs="仿宋"/>
          <w:sz w:val="28"/>
          <w:szCs w:val="28"/>
        </w:rPr>
        <w:t>年资助了</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人次共</w:t>
      </w:r>
      <w:r>
        <w:rPr>
          <w:rFonts w:hint="eastAsia" w:ascii="仿宋_GB2312" w:hAnsi="仿宋" w:eastAsia="仿宋_GB2312" w:cs="仿宋"/>
          <w:sz w:val="28"/>
          <w:szCs w:val="28"/>
          <w:lang w:val="en-US" w:eastAsia="zh-CN"/>
        </w:rPr>
        <w:t>0.4</w:t>
      </w:r>
      <w:r>
        <w:rPr>
          <w:rFonts w:hint="eastAsia" w:ascii="仿宋_GB2312" w:hAnsi="仿宋" w:eastAsia="仿宋_GB2312" w:cs="仿宋"/>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（三）人才培养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3.1</w:t>
      </w:r>
      <w:r>
        <w:rPr>
          <w:rFonts w:hint="eastAsia" w:ascii="仿宋_GB2312" w:hAnsi="仿宋" w:eastAsia="仿宋_GB2312" w:cs="仿宋"/>
          <w:sz w:val="28"/>
          <w:szCs w:val="28"/>
        </w:rPr>
        <w:t>思想政治教育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坚持以习近平新时代中国特色社会主义思想为指导，牢牢把握社会主义办学方向，落实立德树人根本任务，深化“三全育人”工作机制，把思政工作贯穿教育教学全过程，努力提升人才培养针对性实效性。以“四个平台”建设为抓手，推进学科思政建设。精心打造教师党支部“强心平台”“连心平台”“薪火平台”和“新秀平台”为内容的“四个平台”建设，立足药学学科特色，将思政教育和课程思政融入课堂教学，探索创新思政宣传教育方式方法，将课程思政元素贯穿于课堂教学、科研训练及社会实践之中，强化党员先锋模范作用和支部战斗堡垒作用，将马克思主义立场观点方法的教育与科学精神的培养结合起来，突出课程思政育人，助推精准思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3.2</w:t>
      </w:r>
      <w:r>
        <w:rPr>
          <w:rFonts w:hint="eastAsia" w:ascii="仿宋_GB2312" w:hAnsi="仿宋" w:eastAsia="仿宋_GB2312" w:cs="仿宋"/>
          <w:sz w:val="28"/>
          <w:szCs w:val="28"/>
        </w:rPr>
        <w:t>师德师风建设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bookmarkStart w:id="2" w:name="_GoBack"/>
      <w:r>
        <w:rPr>
          <w:rFonts w:hint="eastAsia" w:ascii="仿宋_GB2312" w:hAnsi="仿宋" w:eastAsia="仿宋_GB2312" w:cs="仿宋"/>
          <w:sz w:val="28"/>
          <w:szCs w:val="28"/>
          <w:lang w:val="en-US" w:eastAsia="zh-CN"/>
        </w:rPr>
        <w:t>积极弘扬高尚师德，通过举办师德报告会、先进事迹宣讲会等宣</w:t>
      </w:r>
      <w:bookmarkEnd w:id="2"/>
      <w:r>
        <w:rPr>
          <w:rFonts w:hint="eastAsia" w:ascii="仿宋_GB2312" w:hAnsi="仿宋" w:eastAsia="仿宋_GB2312" w:cs="仿宋"/>
          <w:sz w:val="28"/>
          <w:szCs w:val="28"/>
          <w:lang w:val="en-US" w:eastAsia="zh-CN"/>
        </w:rPr>
        <w:t>传学习活动，开展“优秀教师”、“青年之星”等评选活动，发挥优秀教师模范表率作用；每年隆重举行教师节表彰，弘扬尊师风尚，引领广大教师树立正确的职业观，增强导师教书育人的荣誉感和使命感，不断提高教师思想政治素质和职业道德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以党建工作为载体，将思想政治教育内容、过程和方法，渗透到师德师风建设的各个环节，持续推进药学院“1234育人工程”，构建药学学科师德师风建设的长效机制，以师德师风带动教风、学风。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3.3</w:t>
      </w:r>
      <w:r>
        <w:rPr>
          <w:rFonts w:hint="eastAsia" w:ascii="仿宋_GB2312" w:hAnsi="仿宋" w:eastAsia="仿宋_GB2312" w:cs="仿宋"/>
          <w:sz w:val="28"/>
          <w:szCs w:val="28"/>
        </w:rPr>
        <w:t>招生选拔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highlight w:val="none"/>
          <w:lang w:val="en-US" w:eastAsia="zh-CN"/>
        </w:rPr>
      </w:pPr>
      <w:r>
        <w:rPr>
          <w:rFonts w:hint="eastAsia" w:ascii="仿宋_GB2312" w:hAnsi="黑体" w:eastAsia="仿宋_GB2312" w:cs="黑体"/>
          <w:bCs/>
          <w:sz w:val="28"/>
          <w:szCs w:val="28"/>
          <w:highlight w:val="none"/>
          <w:lang w:val="en-US" w:eastAsia="zh-CN"/>
        </w:rPr>
        <w:t>3.3.1总体情况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highlight w:val="none"/>
          <w:lang w:val="en-US" w:eastAsia="zh-CN" w:bidi="ar-SA"/>
        </w:rPr>
      </w:pPr>
      <w:r>
        <w:rPr>
          <w:rFonts w:hint="eastAsia" w:ascii="仿宋_GB2312" w:hAnsi="仿宋" w:eastAsia="仿宋_GB2312" w:cs="仿宋"/>
          <w:bCs w:val="0"/>
          <w:kern w:val="2"/>
          <w:sz w:val="28"/>
          <w:szCs w:val="28"/>
          <w:highlight w:val="none"/>
          <w:lang w:val="en-US" w:eastAsia="zh-CN" w:bidi="ar-SA"/>
        </w:rPr>
        <w:t>本年度，本学位点共招收全日制药学硕士专业学位研究生79人，其中临床药学领域28人，工业药学领域19人，管理药学领域18人，药物分析领域14人。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highlight w:val="none"/>
          <w:lang w:val="en-US" w:eastAsia="zh-CN" w:bidi="ar-SA"/>
        </w:rPr>
      </w:pPr>
      <w:r>
        <w:rPr>
          <w:rFonts w:hint="eastAsia" w:ascii="仿宋_GB2312" w:hAnsi="仿宋" w:eastAsia="仿宋_GB2312" w:cs="仿宋"/>
          <w:bCs w:val="0"/>
          <w:kern w:val="2"/>
          <w:sz w:val="28"/>
          <w:szCs w:val="28"/>
          <w:highlight w:val="none"/>
          <w:lang w:val="en-US" w:eastAsia="zh-CN" w:bidi="ar-SA"/>
        </w:rPr>
        <w:t>3.3.2生源</w:t>
      </w:r>
      <w:r>
        <w:rPr>
          <w:rFonts w:hint="eastAsia" w:ascii="仿宋_GB2312" w:hAnsi="黑体" w:eastAsia="仿宋_GB2312" w:cs="黑体"/>
          <w:bCs/>
          <w:sz w:val="28"/>
          <w:szCs w:val="28"/>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highlight w:val="none"/>
          <w:lang w:val="en-US" w:eastAsia="zh-CN" w:bidi="ar-SA"/>
        </w:rPr>
      </w:pPr>
      <w:r>
        <w:rPr>
          <w:rFonts w:hint="eastAsia" w:ascii="仿宋_GB2312" w:hAnsi="仿宋" w:eastAsia="仿宋_GB2312" w:cs="仿宋"/>
          <w:bCs w:val="0"/>
          <w:kern w:val="2"/>
          <w:sz w:val="28"/>
          <w:szCs w:val="28"/>
          <w:highlight w:val="none"/>
          <w:lang w:val="en-US" w:eastAsia="zh-CN" w:bidi="ar-SA"/>
        </w:rPr>
        <w:t>统考报考本专业学生35人，录取34人，考录比为1.03:1，本年度因扩招，一志愿生源相对不足。从学员结构来看，毕业于本校的共30人，占比38%。毕业于其他院校的49人，占比62%，学缘交流及融合度较好。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黑体" w:eastAsia="仿宋_GB2312" w:cs="黑体"/>
          <w:bCs/>
          <w:sz w:val="28"/>
          <w:szCs w:val="28"/>
          <w:highlight w:val="none"/>
          <w:lang w:val="en-US" w:eastAsia="zh-CN"/>
        </w:rPr>
      </w:pPr>
      <w:r>
        <w:rPr>
          <w:rFonts w:hint="eastAsia" w:ascii="仿宋_GB2312" w:hAnsi="黑体" w:eastAsia="仿宋_GB2312" w:cs="黑体"/>
          <w:bCs/>
          <w:sz w:val="28"/>
          <w:szCs w:val="28"/>
          <w:highlight w:val="none"/>
          <w:lang w:val="en-US" w:eastAsia="zh-CN"/>
        </w:rPr>
        <w:t>3.3.3研究生招生机制改革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highlight w:val="none"/>
        </w:rPr>
      </w:pPr>
      <w:r>
        <w:rPr>
          <w:rFonts w:ascii="仿宋_GB2312" w:hAnsi="宋体" w:eastAsia="仿宋_GB2312" w:cs="仿宋_GB2312"/>
          <w:color w:val="000000"/>
          <w:kern w:val="0"/>
          <w:sz w:val="28"/>
          <w:szCs w:val="28"/>
          <w:highlight w:val="none"/>
          <w:lang w:val="en-US" w:eastAsia="zh-CN" w:bidi="ar"/>
        </w:rPr>
        <w:t>加强过程监督管理，确保招生安全平稳</w:t>
      </w:r>
      <w:r>
        <w:rPr>
          <w:rFonts w:hint="eastAsia" w:ascii="仿宋_GB2312" w:hAnsi="宋体" w:eastAsia="仿宋_GB2312" w:cs="仿宋_GB2312"/>
          <w:color w:val="000000"/>
          <w:kern w:val="0"/>
          <w:sz w:val="28"/>
          <w:szCs w:val="28"/>
          <w:highlight w:val="none"/>
          <w:lang w:val="en-US" w:eastAsia="zh-CN" w:bidi="ar"/>
        </w:rPr>
        <w:t>，复试全过程考生零投诉</w:t>
      </w:r>
      <w:r>
        <w:rPr>
          <w:rFonts w:ascii="仿宋_GB2312" w:hAnsi="宋体" w:eastAsia="仿宋_GB2312" w:cs="仿宋_GB2312"/>
          <w:color w:val="000000"/>
          <w:kern w:val="0"/>
          <w:sz w:val="28"/>
          <w:szCs w:val="28"/>
          <w:highlight w:val="none"/>
          <w:lang w:val="en-US" w:eastAsia="zh-CN" w:bidi="ar"/>
        </w:rPr>
        <w:t>。进一步完善硕士复</w:t>
      </w:r>
      <w:r>
        <w:rPr>
          <w:rFonts w:hint="eastAsia" w:ascii="仿宋_GB2312" w:hAnsi="宋体" w:eastAsia="仿宋_GB2312" w:cs="仿宋_GB2312"/>
          <w:color w:val="000000"/>
          <w:kern w:val="0"/>
          <w:sz w:val="28"/>
          <w:szCs w:val="28"/>
          <w:highlight w:val="none"/>
          <w:lang w:val="en-US" w:eastAsia="zh-CN" w:bidi="ar"/>
        </w:rPr>
        <w:t>试工作的监督管理，制定调剂生客观筛选规则，建立录取低分生审查机制，并严格执行。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lang w:val="en-US" w:eastAsia="zh-CN"/>
        </w:rPr>
        <w:t>3.4</w:t>
      </w:r>
      <w:r>
        <w:rPr>
          <w:rFonts w:hint="eastAsia" w:ascii="仿宋_GB2312" w:hAnsi="仿宋" w:eastAsia="仿宋_GB2312" w:cs="仿宋"/>
          <w:sz w:val="28"/>
          <w:szCs w:val="28"/>
          <w:highlight w:val="none"/>
        </w:rPr>
        <w:t>课程教学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本年度面向本学位点开放40门硕士课程，涵盖思政课程、外语课程、专业基础课程等，其中公共课6门，专业基础课14门，专业选修课程13门，实验课程7门，其中，本学年根据《核心课程指南要求》新增了硕士课程9门，构建了较为完完备的课程体系。</w:t>
      </w:r>
    </w:p>
    <w:tbl>
      <w:tblPr>
        <w:tblStyle w:val="3"/>
        <w:tblW w:w="7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3323"/>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课程名单</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对口专业（方向）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高等有机化学</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药学（工业药学）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药剂学概论</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药学（工业药学）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微生物药物学</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药学（工业药学）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生物技术制药</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药学（工业药学）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新药评审与注册</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药学（管理药学）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高级临床药学实践教程</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药学（临床药学）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药品标准实务</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药学（药物分析）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药品质量管理</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药学（管理药学）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定量药理学与个体化给药</w:t>
            </w:r>
          </w:p>
        </w:tc>
        <w:tc>
          <w:tcPr>
            <w:tcW w:w="338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药学（临床药学）</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3.5</w:t>
      </w:r>
      <w:r>
        <w:rPr>
          <w:rFonts w:hint="eastAsia" w:ascii="仿宋_GB2312" w:hAnsi="仿宋" w:eastAsia="仿宋_GB2312" w:cs="仿宋"/>
          <w:sz w:val="28"/>
          <w:szCs w:val="28"/>
        </w:rPr>
        <w:t>导师指导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highlight w:val="none"/>
          <w:lang w:val="en-US" w:eastAsia="zh-CN" w:bidi="ar-SA"/>
        </w:rPr>
      </w:pPr>
      <w:r>
        <w:rPr>
          <w:rFonts w:hint="eastAsia" w:ascii="仿宋_GB2312" w:hAnsi="仿宋" w:eastAsia="仿宋_GB2312" w:cs="仿宋"/>
          <w:sz w:val="28"/>
          <w:szCs w:val="28"/>
          <w:highlight w:val="none"/>
          <w:lang w:val="en-US" w:eastAsia="zh-CN"/>
        </w:rPr>
        <w:t>本学位点现有在岗专硕导师46人。</w:t>
      </w:r>
      <w:r>
        <w:rPr>
          <w:rFonts w:hint="eastAsia" w:ascii="仿宋_GB2312" w:hAnsi="仿宋" w:eastAsia="仿宋_GB2312" w:cs="仿宋"/>
          <w:bCs w:val="0"/>
          <w:kern w:val="2"/>
          <w:sz w:val="28"/>
          <w:szCs w:val="28"/>
          <w:highlight w:val="none"/>
          <w:lang w:val="en-US" w:eastAsia="zh-CN" w:bidi="ar-SA"/>
        </w:rPr>
        <w:t>根据《福建医科大学研究生指导教师遴选实施细则》每2年开展一次导师选聘工作，严格要求审核导师资质，实行校院双重审核，守好准入关。</w:t>
      </w:r>
      <w:r>
        <w:rPr>
          <w:rFonts w:hint="eastAsia" w:ascii="仿宋_GB2312" w:hAnsi="仿宋" w:eastAsia="仿宋_GB2312" w:cs="仿宋"/>
          <w:sz w:val="28"/>
          <w:szCs w:val="28"/>
          <w:highlight w:val="none"/>
          <w:lang w:val="en-US" w:eastAsia="zh-CN"/>
        </w:rPr>
        <w:t>本年度新增导师40人。</w:t>
      </w:r>
      <w:r>
        <w:rPr>
          <w:rFonts w:hint="eastAsia" w:ascii="仿宋_GB2312" w:hAnsi="仿宋" w:eastAsia="仿宋_GB2312" w:cs="仿宋"/>
          <w:bCs w:val="0"/>
          <w:kern w:val="2"/>
          <w:sz w:val="28"/>
          <w:szCs w:val="28"/>
          <w:highlight w:val="none"/>
          <w:lang w:val="en-US" w:eastAsia="zh-CN" w:bidi="ar-SA"/>
        </w:rPr>
        <w:t>本年度未开展专硕导师遴选工作。积极开展导师培训，每年至少开展1次导师培训，针对研究生招生、培养、学位相关工作等相关工作进行培训。根据《福建医科大学研究生指导教师招生资格审核暂行办法》对导师条件进行年度审核，审核不合格的，暂停该年度的招生资格。结合药学学科特点，发挥医科大学临床医院优势，积极在行业中选聘资深临床药师作为行业导师。不断加强导师队伍建设，“临床药学”导师团队入选获得福建药学专业学位研究生导师团队建设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3.6</w:t>
      </w:r>
      <w:r>
        <w:rPr>
          <w:rFonts w:hint="eastAsia" w:ascii="仿宋_GB2312" w:hAnsi="仿宋" w:eastAsia="仿宋_GB2312" w:cs="仿宋"/>
          <w:sz w:val="28"/>
          <w:szCs w:val="28"/>
        </w:rPr>
        <w:t>学术训练或实习实践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学位点在培养方案中要求各领域研究生在实践基地开展不少于12个月的实习，其中临床药学领域对照临床药学培训要求，开展至少4个临床专业，每个专业不少于3个月的通科轮转实习，和4-6个月的专科轮转，同时积极协调规培基地，探索三证合一；管理药学</w:t>
      </w:r>
      <w:r>
        <w:rPr>
          <w:rFonts w:hint="eastAsia" w:ascii="仿宋_GB2312" w:hAnsi="仿宋" w:eastAsia="仿宋_GB2312" w:cs="仿宋"/>
          <w:bCs w:val="0"/>
          <w:kern w:val="2"/>
          <w:sz w:val="28"/>
          <w:szCs w:val="28"/>
          <w:highlight w:val="none"/>
          <w:lang w:val="en-US" w:eastAsia="zh-CN" w:bidi="ar-SA"/>
        </w:rPr>
        <w:t>方向研究生进入GLP、GCP等机构开展SOP学习，参与项目工作；工业药学方向研究生，进入药品生产企业研发部门、医院制剂室开展实践学习。本年度共有36名学生进入8家实习基地开展实践学习。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3.7</w:t>
      </w:r>
      <w:r>
        <w:rPr>
          <w:rFonts w:hint="eastAsia" w:ascii="仿宋_GB2312" w:hAnsi="仿宋" w:eastAsia="仿宋_GB2312" w:cs="仿宋"/>
          <w:sz w:val="28"/>
          <w:szCs w:val="28"/>
        </w:rPr>
        <w:t>学术交流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受疫情疫情，本学位点主要学术交流活动主要以线上会议为主。积极组织学生参与校院两级学术交流活动，包括“名家讲坛”“导师讲坛”“博士生讲坛”“硕士生讲坛”“华韵大讲坛”“弘药论坛”等。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highlight w:val="none"/>
          <w:lang w:val="en-US" w:eastAsia="zh-CN"/>
        </w:rPr>
      </w:pPr>
      <w:r>
        <w:rPr>
          <w:rFonts w:hint="eastAsia" w:ascii="仿宋_GB2312" w:hAnsi="仿宋" w:eastAsia="仿宋_GB2312" w:cs="仿宋"/>
          <w:sz w:val="28"/>
          <w:szCs w:val="28"/>
          <w:highlight w:val="none"/>
          <w:lang w:val="en-US" w:eastAsia="zh-CN"/>
        </w:rPr>
        <w:t>本学年累计组织专业学位研究生参与学术活动400余人次。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（四）质量监控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4.1</w:t>
      </w:r>
      <w:r>
        <w:rPr>
          <w:rFonts w:hint="eastAsia" w:ascii="仿宋_GB2312" w:hAnsi="仿宋" w:eastAsia="仿宋_GB2312" w:cs="仿宋"/>
          <w:sz w:val="28"/>
          <w:szCs w:val="28"/>
        </w:rPr>
        <w:t>质量保障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_GB2312" w:hAnsi="仿宋" w:eastAsia="仿宋_GB2312" w:cs="仿宋"/>
          <w:bCs w:val="0"/>
          <w:kern w:val="2"/>
          <w:sz w:val="28"/>
          <w:szCs w:val="28"/>
          <w:lang w:val="en-US" w:eastAsia="zh-CN" w:bidi="ar-SA"/>
        </w:rPr>
        <w:t>根据研究生培养的流程，培养过程可大致分为课程学习、实践学习、学位申请三个阶段。本学位点的质量保障工作主要围绕上述三个阶段展开。课程学习阶段，所有课程按照学校的规定进行新开课遴选，开课过程由校院两级督导随机听课，课程考核采用多样化考核制度，充分考察研究生的学习成果，部分课程学习成果还在期刊上发表。实践学习，严格落实轮转要求，研究生需要完成实习作业、轮转记录，通过出科考核后才能进入下一科室的学习。学位申请阶段，研究生按照《福建医科大学研究生学位论文质量管理办法》要求抽取双盲送审，本年度盲审抽取率提升至25%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4.2</w:t>
      </w:r>
      <w:r>
        <w:rPr>
          <w:rFonts w:hint="eastAsia" w:ascii="仿宋_GB2312" w:hAnsi="仿宋" w:eastAsia="仿宋_GB2312" w:cs="仿宋"/>
          <w:sz w:val="28"/>
          <w:szCs w:val="28"/>
        </w:rPr>
        <w:t>分流淘汰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bCs w:val="0"/>
          <w:kern w:val="2"/>
          <w:sz w:val="28"/>
          <w:szCs w:val="28"/>
          <w:lang w:val="en-US" w:eastAsia="zh-CN" w:bidi="ar-SA"/>
        </w:rPr>
        <w:t>本学位点分流淘汰环节主要包括中期考核和毕业时限2个分流点。研究生在第3学期期末参加中期考核，考核内容包括专业实践情况、专业技能水平等，中期考核不合格者，可在6个月后申请再次考核，仍不合格者将淘汰分流。硕士研究生要求超过最长修读年限不超过5年，超过5年仍无法申请毕业者将分流淘汰。本年度无分流淘汰研究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4.3</w:t>
      </w:r>
      <w:r>
        <w:rPr>
          <w:rFonts w:hint="eastAsia" w:ascii="仿宋_GB2312" w:hAnsi="仿宋" w:eastAsia="仿宋_GB2312" w:cs="仿宋"/>
          <w:sz w:val="28"/>
          <w:szCs w:val="28"/>
        </w:rPr>
        <w:t>学位论文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学位点高度重视论文质量，对存在学术不端行为的研究生不予授予学位。导师作为研究生培养的第一责任人，负责论文指导工作。学院集中组织研究生进行论文开题、中期考核，论文查重、送审，论文答辩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bCs w:val="0"/>
          <w:kern w:val="2"/>
          <w:sz w:val="28"/>
          <w:szCs w:val="28"/>
          <w:lang w:val="en-US" w:eastAsia="zh-CN" w:bidi="ar-SA"/>
        </w:rPr>
      </w:pPr>
      <w:r>
        <w:rPr>
          <w:rFonts w:hint="eastAsia" w:ascii="仿宋_GB2312" w:hAnsi="仿宋" w:eastAsia="仿宋_GB2312" w:cs="仿宋"/>
          <w:bCs w:val="0"/>
          <w:kern w:val="2"/>
          <w:sz w:val="28"/>
          <w:szCs w:val="28"/>
          <w:lang w:val="en-US" w:eastAsia="zh-CN" w:bidi="ar-SA"/>
        </w:rPr>
        <w:t>本年度毕业生论文查重送审均合格，并已连续</w:t>
      </w:r>
      <w:r>
        <w:rPr>
          <w:rFonts w:hint="eastAsia" w:ascii="仿宋_GB2312" w:hAnsi="仿宋" w:eastAsia="仿宋_GB2312" w:cs="仿宋"/>
          <w:bCs w:val="0"/>
          <w:kern w:val="2"/>
          <w:sz w:val="28"/>
          <w:szCs w:val="28"/>
          <w:highlight w:val="none"/>
          <w:lang w:val="en-US" w:eastAsia="zh-CN" w:bidi="ar-SA"/>
        </w:rPr>
        <w:t>第3年</w:t>
      </w:r>
      <w:r>
        <w:rPr>
          <w:rFonts w:hint="eastAsia" w:ascii="仿宋_GB2312" w:hAnsi="仿宋" w:eastAsia="仿宋_GB2312" w:cs="仿宋"/>
          <w:bCs w:val="0"/>
          <w:kern w:val="2"/>
          <w:sz w:val="28"/>
          <w:szCs w:val="28"/>
          <w:lang w:val="en-US" w:eastAsia="zh-CN" w:bidi="ar-SA"/>
        </w:rPr>
        <w:t>获得福建省优秀学位论文各1篇。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4.4</w:t>
      </w:r>
      <w:r>
        <w:rPr>
          <w:rFonts w:hint="eastAsia" w:ascii="仿宋_GB2312" w:hAnsi="仿宋" w:eastAsia="仿宋_GB2312" w:cs="仿宋"/>
          <w:sz w:val="28"/>
          <w:szCs w:val="28"/>
        </w:rPr>
        <w:t>学风教育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bCs w:val="0"/>
          <w:kern w:val="2"/>
          <w:sz w:val="28"/>
          <w:szCs w:val="28"/>
          <w:lang w:val="en-US" w:eastAsia="zh-CN" w:bidi="ar-SA"/>
        </w:rPr>
        <w:t>本学位点重视学风建设，每年组织师生收看全国科学道德和学风建设宣讲教育报告会，同时通过形式多样的思政课程、课程思政提升研究生的思想政治理论水平。本年度未发现学术不端行为。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4.5</w:t>
      </w:r>
      <w:r>
        <w:rPr>
          <w:rFonts w:hint="eastAsia" w:ascii="仿宋_GB2312" w:hAnsi="仿宋" w:eastAsia="仿宋_GB2312" w:cs="仿宋"/>
          <w:sz w:val="28"/>
          <w:szCs w:val="28"/>
        </w:rPr>
        <w:t>管理服务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rPr>
      </w:pPr>
      <w:r>
        <w:rPr>
          <w:rFonts w:hint="eastAsia" w:ascii="仿宋_GB2312" w:hAnsi="仿宋" w:eastAsia="仿宋_GB2312" w:cs="仿宋"/>
          <w:sz w:val="28"/>
          <w:szCs w:val="28"/>
          <w:lang w:val="en-US" w:eastAsia="zh-CN"/>
        </w:rPr>
        <w:t>本学位点研究生院管理与服务工作主要有研究生院和二级学院共同承担</w:t>
      </w:r>
      <w:r>
        <w:rPr>
          <w:rFonts w:hint="eastAsia" w:ascii="仿宋_GB2312" w:hAnsi="宋体" w:eastAsia="仿宋_GB2312" w:cs="仿宋_GB2312"/>
          <w:color w:val="000000"/>
          <w:kern w:val="0"/>
          <w:sz w:val="28"/>
          <w:szCs w:val="28"/>
          <w:lang w:val="en-US" w:eastAsia="zh-CN" w:bidi="ar"/>
        </w:rPr>
        <w:t>，研究生院</w:t>
      </w:r>
      <w:r>
        <w:rPr>
          <w:rFonts w:ascii="仿宋_GB2312" w:hAnsi="宋体" w:eastAsia="仿宋_GB2312" w:cs="仿宋_GB2312"/>
          <w:color w:val="000000"/>
          <w:kern w:val="0"/>
          <w:sz w:val="28"/>
          <w:szCs w:val="28"/>
          <w:lang w:val="en-US" w:eastAsia="zh-CN" w:bidi="ar"/>
        </w:rPr>
        <w:t>下</w:t>
      </w:r>
      <w:r>
        <w:rPr>
          <w:rFonts w:hint="eastAsia" w:ascii="仿宋_GB2312" w:hAnsi="宋体" w:eastAsia="仿宋_GB2312" w:cs="仿宋_GB2312"/>
          <w:color w:val="000000"/>
          <w:kern w:val="0"/>
          <w:sz w:val="28"/>
          <w:szCs w:val="28"/>
          <w:lang w:val="en-US" w:eastAsia="zh-CN" w:bidi="ar"/>
        </w:rPr>
        <w:t>设党政管理办公室、研究生招生办公室、学生培养办公室、学位管理办公室、共有专职管理人员10名。药学院设置分管研究生教育工作副院长1名，分管研究生学生工作副书记1名，专职辅导员和专职管理人员各1名，开展日常研究生培育管理与服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4.6</w:t>
      </w:r>
      <w:r>
        <w:rPr>
          <w:rFonts w:hint="eastAsia" w:ascii="仿宋_GB2312" w:hAnsi="仿宋" w:eastAsia="仿宋_GB2312" w:cs="仿宋"/>
          <w:sz w:val="28"/>
          <w:szCs w:val="28"/>
        </w:rPr>
        <w:t>就业发展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2021年</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本学位点毕业研究生</w:t>
      </w:r>
      <w:r>
        <w:rPr>
          <w:rFonts w:hint="eastAsia" w:ascii="仿宋_GB2312" w:hAnsi="仿宋" w:eastAsia="仿宋_GB2312" w:cs="仿宋"/>
          <w:sz w:val="28"/>
          <w:szCs w:val="28"/>
        </w:rPr>
        <w:t>就业率为100%，受聘医疗卫生事业单位比例较高，共12人签约省市县医疗卫生机构，占专硕研究生总数的80%，其中，福建省妇产医院2人，复旦大学附属中山医院厦门医院2人、福建医科大学附属协和医院、山东省烟台市毓璜顶医院、福建省龙岩市第一医院、深圳市龙岗区人民医院、中国人民解放军联勤保障部队第九〇〇医院、福建医科大学附属第二医院、福清市医院、甘肃省人民医院各1人。有3人分别与人福医药集团股份公司、力品药业（厦门）股份有限公司、福建盛迪医药有限公司等医药企业签约受聘，总体就业水平较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二、工作特色与成效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思政工作融入到思想引领、文化传承和社会服务实践过程中，立足药学学科特色，以国家需求为导向，着力解决基层实际问题，用真知回馈社会，在实践中锤炼品格，在志愿服务中强化社会责任。抗击新冠肺炎疫情期间，我院研究生和导师勇担责任，逆行而上，组建抗疫药学青年志愿者突击队，为疫情防控贡献福医药学力量。其中1名研究生导师随援鄂医疗队奔赴宜昌抗疫一线，积极参与患者治疗的用药指导，累计管理病人429人次完成了近800例次的医嘱审核、用药调整和药学监护建议，为患者安全用药保驾护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2.完善课程体系建设，围绕核心课程指南，新开硕士课程9门，构建了较为完完备的课程体系。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3.新增药物分析二级招生领域，制定该领域培养方案，新增该领域导师9人。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三、学位点建设存在的问题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1.课堂教学中的思政元素的融合度不够。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2.国际交流和学术交流受疫情影响较大，交流不够活跃。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3.专业实践过程把关不够严格。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四、下一年度建设计划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1.修订课程教学大纲，在大纲中体现课程的思政元素。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2.以线上交流的形式积极推动国际交流合作，加强学术交流。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3.完善管理制度，以多种形式对专业实践过程进行过程管理，包括检查实践训练记录、走访研究生专业实践基地等形式、组织专业技能考核等。</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E2YTZkZDNmYzc0ZTUzNWZmYWE1YTgzNjdkZWEifQ=="/>
  </w:docVars>
  <w:rsids>
    <w:rsidRoot w:val="371038B8"/>
    <w:rsid w:val="093228B9"/>
    <w:rsid w:val="0B0D045C"/>
    <w:rsid w:val="1B381995"/>
    <w:rsid w:val="1BEB2A74"/>
    <w:rsid w:val="1EAE39D5"/>
    <w:rsid w:val="371038B8"/>
    <w:rsid w:val="386D4C71"/>
    <w:rsid w:val="3904061D"/>
    <w:rsid w:val="3C6504EB"/>
    <w:rsid w:val="450A5241"/>
    <w:rsid w:val="4F1E7253"/>
    <w:rsid w:val="4F3B2B44"/>
    <w:rsid w:val="5CCC2387"/>
    <w:rsid w:val="5D6B0CF2"/>
    <w:rsid w:val="6C4B22E4"/>
    <w:rsid w:val="6D03740F"/>
    <w:rsid w:val="7F5D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50" w:beforeLines="50" w:after="50" w:afterLines="50" w:line="240" w:lineRule="auto"/>
      <w:outlineLvl w:val="2"/>
    </w:pPr>
    <w:rPr>
      <w:rFonts w:eastAsia="方正仿宋简体"/>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51"/>
    <w:basedOn w:val="4"/>
    <w:qFormat/>
    <w:uiPriority w:val="0"/>
    <w:rPr>
      <w:rFonts w:hint="eastAsia" w:ascii="宋体" w:hAnsi="宋体" w:eastAsia="宋体" w:cs="宋体"/>
      <w:color w:val="auto"/>
      <w:sz w:val="21"/>
      <w:szCs w:val="21"/>
    </w:rPr>
  </w:style>
  <w:style w:type="character" w:customStyle="1" w:styleId="6">
    <w:name w:val="font61"/>
    <w:basedOn w:val="4"/>
    <w:qFormat/>
    <w:uiPriority w:val="0"/>
    <w:rPr>
      <w:rFonts w:hint="default" w:ascii="Times New Roman" w:hAnsi="Times New Roman" w:eastAsia="宋体" w:cs="Times New Roman"/>
      <w:color w:val="auto"/>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7578</Words>
  <Characters>7950</Characters>
  <Lines>0</Lines>
  <Paragraphs>0</Paragraphs>
  <TotalTime>11</TotalTime>
  <ScaleCrop>false</ScaleCrop>
  <LinksUpToDate>false</LinksUpToDate>
  <CharactersWithSpaces>7958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2022-03-02T02:29:00Z</dcterms:created>
  <dc:creator>陈宏</dc:creator>
  <cp:lastModifiedBy>陈宏</cp:lastModifiedBy>
  <dcterms:modified xsi:type="dcterms:W3CDTF">2022-04-27T07:22:20Z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C7E21C1DAFCF4915AE620E1B21938514</vt:lpwstr>
  </property>
  <property fmtid="{D5CDD505-2E9C-101B-9397-08002B2CF9AE}" pid="4" name="commondata">
    <vt:lpwstr>eyJoZGlkIjoiMmQzNWE2YTZkZDNmYzc0ZTUzNWZmYWE1YTgzNjdkZWEifQ==</vt:lpwstr>
  </property>
</Properties>
</file>