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ind w:firstLine="720" w:firstLineChars="2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 xml:space="preserve"> 药学硕士专业</w:t>
      </w:r>
      <w:r>
        <w:rPr>
          <w:rFonts w:hint="eastAsia" w:ascii="方正小标宋简体" w:hAnsi="方正小标宋简体" w:eastAsia="方正小标宋简体" w:cs="方正小标宋简体"/>
          <w:sz w:val="36"/>
          <w:szCs w:val="36"/>
        </w:rPr>
        <w:t>学位授权点建设年度报告</w:t>
      </w:r>
    </w:p>
    <w:p>
      <w:pPr>
        <w:snapToGrid w:val="0"/>
        <w:spacing w:line="580" w:lineRule="exact"/>
        <w:ind w:firstLine="720" w:firstLineChars="20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val="en-US" w:eastAsia="zh-CN"/>
        </w:rPr>
        <w:t>2020年</w:t>
      </w:r>
      <w:r>
        <w:rPr>
          <w:rFonts w:hint="eastAsia" w:ascii="方正小标宋简体" w:hAnsi="方正小标宋简体" w:eastAsia="方正小标宋简体" w:cs="方正小标宋简体"/>
          <w:sz w:val="36"/>
          <w:szCs w:val="36"/>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一、</w:t>
      </w:r>
      <w:r>
        <w:rPr>
          <w:rFonts w:hint="eastAsia" w:ascii="仿宋_GB2312" w:hAnsi="仿宋" w:eastAsia="仿宋_GB2312" w:cs="仿宋"/>
          <w:sz w:val="28"/>
          <w:szCs w:val="28"/>
        </w:rPr>
        <w:t>学位授权点基本情况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本学位点依托</w:t>
      </w:r>
      <w:r>
        <w:rPr>
          <w:rFonts w:hint="eastAsia" w:ascii="仿宋_GB2312" w:hAnsi="仿宋" w:eastAsia="仿宋_GB2312" w:cs="仿宋"/>
          <w:sz w:val="28"/>
          <w:szCs w:val="28"/>
        </w:rPr>
        <w:t>福建医科大学药学院</w:t>
      </w:r>
      <w:r>
        <w:rPr>
          <w:rFonts w:hint="eastAsia" w:ascii="仿宋_GB2312" w:hAnsi="仿宋" w:eastAsia="仿宋_GB2312" w:cs="仿宋"/>
          <w:sz w:val="28"/>
          <w:szCs w:val="28"/>
          <w:lang w:val="en-US" w:eastAsia="zh-CN"/>
        </w:rPr>
        <w:t>开展各项工作。福建医科大学药学院</w:t>
      </w:r>
      <w:r>
        <w:rPr>
          <w:rFonts w:hint="eastAsia" w:ascii="仿宋_GB2312" w:hAnsi="仿宋" w:eastAsia="仿宋_GB2312" w:cs="仿宋"/>
          <w:sz w:val="28"/>
          <w:szCs w:val="28"/>
        </w:rPr>
        <w:t>集教学、科研、开发与社会服务为一体</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设有药理学系、临床药学系、药物分析学系、药物化学系、药剂学系、天然药物学系、基础化学系、生物工程与生物制药学系等8个学系和实验教学中心、药学科技管理与服务中心等下属机构。开设药学、临床药学、药物制剂、生物制药、药物分析等5个本科药学类专业，每年招生300人左右（药物分析专业从2016年开始暂停招生），其中药学和临床药学专业为国家一流本科专业建设点，生物制药专业为省级一流本科专业建设点。拥有3个省级重点学科：药理学（2003年）、药学特色重点学科（2012年）、省一流学科药学高峰学科（2018年），药理学毒理学学科进入ESI全球排名前1%。1984年获得药理学硕士学位授权点（我校首批硕士点），2003年获得药理学博士学位授权点，成为我省药理学硕士学位、博士学位唯一的授权点；2005年获得药学一级学科硕士学位授权点；2011年获得药学硕士专业学位授权点；2018年获得药学一级学科博士学位授权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本学位点构建</w:t>
      </w:r>
      <w:r>
        <w:rPr>
          <w:rFonts w:hint="eastAsia" w:ascii="仿宋_GB2312" w:hAnsi="仿宋" w:eastAsia="仿宋_GB2312" w:cs="仿宋"/>
          <w:sz w:val="28"/>
          <w:szCs w:val="28"/>
        </w:rPr>
        <w:t>有学士、硕士、博士人才培养体系，人才培养工作成效显著。作为我省药学类专业研究生培养的主要基地，已培养博士69名、硕士611名，在读硕、博士研究生262名；近三年获得福建省优秀博士学位论文1篇，优秀硕士学位论文7篇。先后培养输送全日制本科毕业生3870名，现在读全日制本科生1109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（一）目标与标准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1.1</w:t>
      </w:r>
      <w:r>
        <w:rPr>
          <w:rFonts w:hint="eastAsia" w:ascii="仿宋_GB2312" w:hAnsi="仿宋" w:eastAsia="仿宋_GB2312" w:cs="仿宋"/>
          <w:sz w:val="28"/>
          <w:szCs w:val="28"/>
        </w:rPr>
        <w:t>培养目标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以</w:t>
      </w:r>
      <w:r>
        <w:rPr>
          <w:rFonts w:hint="eastAsia" w:ascii="仿宋_GB2312" w:hAnsi="仿宋" w:eastAsia="仿宋_GB2312" w:cs="仿宋"/>
          <w:sz w:val="28"/>
          <w:szCs w:val="28"/>
        </w:rPr>
        <w:t>药学职业实践为导向，培养掌握马克思主义基本原理和中国特色社会主义理论体系，具有良好的政治素质和职业道德，在药物技术转化、临床使用、监管与生产流通等应用领域的高层次应用型药学专门人才。本学位点依托附属医院临床药师培养条件，率先招收临床药学领域专业学位硕士，陆续开展工业药学、管理药学领域专业学位硕士培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临床药学领域，以药学服务胜任力为导向，以临床实践为主线，培养医疗行业急需的懂医精药、具备药学专业知识背景及临床思维与实践技能，特别是能综合运用专业知识解决临床用药实际问题，并针对临床用药问题开展科研的临床药学高级应用型人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工业药学领域，</w:t>
      </w:r>
      <w:r>
        <w:rPr>
          <w:rFonts w:hint="eastAsia" w:ascii="仿宋_GB2312" w:hAnsi="仿宋" w:eastAsia="仿宋_GB2312" w:cs="仿宋"/>
          <w:sz w:val="28"/>
          <w:szCs w:val="28"/>
          <w:lang w:val="en-US" w:eastAsia="zh-CN"/>
        </w:rPr>
        <w:t>将</w:t>
      </w:r>
      <w:r>
        <w:rPr>
          <w:rFonts w:hint="eastAsia" w:ascii="仿宋_GB2312" w:hAnsi="仿宋" w:eastAsia="仿宋_GB2312" w:cs="仿宋"/>
          <w:sz w:val="28"/>
          <w:szCs w:val="28"/>
        </w:rPr>
        <w:t>实现从制药大国向强国的转变作为药学工作者新时代的神圣使命，旨在培养适应经济社会发展需要、具备岗位胜任力和创新能力的药学高素质应用型人才。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管理药学领域，在新一轮医药卫生体制改革的背景下，培养能够服务于政府、医药企业等部门相关管理岗位的人才，满足国家医改新形势下医药行业全产业链的改革需求，为相关政策的制定和决策提供可靠智慧支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lang w:val="en-US" w:eastAsia="zh-CN"/>
        </w:rPr>
        <w:t>1.2</w:t>
      </w:r>
      <w:r>
        <w:rPr>
          <w:rFonts w:hint="eastAsia" w:ascii="仿宋_GB2312" w:hAnsi="仿宋" w:eastAsia="仿宋_GB2312" w:cs="仿宋"/>
          <w:sz w:val="28"/>
          <w:szCs w:val="28"/>
        </w:rPr>
        <w:t>学位标准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针对已获得</w:t>
      </w:r>
      <w:r>
        <w:rPr>
          <w:rFonts w:hint="eastAsia" w:ascii="仿宋_GB2312" w:eastAsia="仿宋_GB2312"/>
          <w:sz w:val="28"/>
          <w:szCs w:val="28"/>
          <w:lang w:val="en-US" w:eastAsia="zh-CN"/>
        </w:rPr>
        <w:t>本科学历</w:t>
      </w:r>
      <w:r>
        <w:rPr>
          <w:rFonts w:hint="eastAsia" w:ascii="仿宋_GB2312" w:eastAsia="仿宋_GB2312"/>
          <w:sz w:val="28"/>
          <w:szCs w:val="28"/>
        </w:rPr>
        <w:t>人员，在</w:t>
      </w:r>
      <w:r>
        <w:rPr>
          <w:rFonts w:hint="eastAsia" w:ascii="仿宋_GB2312" w:eastAsia="仿宋_GB2312"/>
          <w:sz w:val="28"/>
          <w:szCs w:val="28"/>
          <w:lang w:val="en-US" w:eastAsia="zh-CN"/>
        </w:rPr>
        <w:t>临床药学、工业药学、管理药学</w:t>
      </w:r>
      <w:r>
        <w:rPr>
          <w:rFonts w:hint="eastAsia" w:ascii="仿宋_GB2312" w:eastAsia="仿宋_GB2312"/>
          <w:sz w:val="28"/>
          <w:szCs w:val="28"/>
        </w:rPr>
        <w:t>等</w:t>
      </w:r>
      <w:r>
        <w:rPr>
          <w:rFonts w:hint="eastAsia" w:ascii="仿宋_GB2312" w:eastAsia="仿宋_GB2312"/>
          <w:sz w:val="28"/>
          <w:szCs w:val="28"/>
          <w:lang w:val="en-US" w:eastAsia="zh-CN"/>
        </w:rPr>
        <w:t>专业领域</w:t>
      </w:r>
      <w:r>
        <w:rPr>
          <w:rFonts w:hint="eastAsia" w:ascii="仿宋_GB2312" w:eastAsia="仿宋_GB2312"/>
          <w:sz w:val="28"/>
          <w:szCs w:val="28"/>
        </w:rPr>
        <w:t>，</w:t>
      </w:r>
      <w:r>
        <w:rPr>
          <w:rFonts w:hint="eastAsia" w:ascii="仿宋_GB2312" w:eastAsia="仿宋_GB2312"/>
          <w:sz w:val="28"/>
          <w:szCs w:val="28"/>
          <w:lang w:val="en-US" w:eastAsia="zh-CN"/>
        </w:rPr>
        <w:t>通过</w:t>
      </w:r>
      <w:r>
        <w:rPr>
          <w:rFonts w:hint="eastAsia" w:ascii="仿宋_GB2312" w:eastAsia="仿宋_GB2312"/>
          <w:sz w:val="28"/>
          <w:szCs w:val="28"/>
        </w:rPr>
        <w:t>3年左右的专门理论</w:t>
      </w:r>
      <w:r>
        <w:rPr>
          <w:rFonts w:hint="eastAsia" w:ascii="仿宋_GB2312" w:eastAsia="仿宋_GB2312"/>
          <w:sz w:val="28"/>
          <w:szCs w:val="28"/>
          <w:lang w:val="en-US" w:eastAsia="zh-CN"/>
        </w:rPr>
        <w:t>和</w:t>
      </w:r>
      <w:r>
        <w:rPr>
          <w:rFonts w:hint="eastAsia" w:ascii="仿宋_GB2312" w:eastAsia="仿宋_GB2312"/>
          <w:sz w:val="28"/>
          <w:szCs w:val="28"/>
        </w:rPr>
        <w:t>技术知识系统学习，课程成绩合格，完成</w:t>
      </w:r>
      <w:r>
        <w:rPr>
          <w:rFonts w:hint="eastAsia" w:ascii="仿宋_GB2312" w:eastAsia="仿宋_GB2312"/>
          <w:sz w:val="28"/>
          <w:szCs w:val="28"/>
          <w:lang w:val="en-US" w:eastAsia="zh-CN"/>
        </w:rPr>
        <w:t>不少于1年的行业实践，完成</w:t>
      </w:r>
      <w:r>
        <w:rPr>
          <w:rFonts w:hint="eastAsia" w:ascii="仿宋_GB2312" w:eastAsia="仿宋_GB2312"/>
          <w:sz w:val="28"/>
          <w:szCs w:val="28"/>
        </w:rPr>
        <w:t>具有一定完整性和系统性的科学技术研究课题，撰写的硕士学位论文合格并通过毕业论文答辩，按照《福建医科大学硕士学位授予工作细则》授予</w:t>
      </w:r>
      <w:r>
        <w:rPr>
          <w:rFonts w:hint="eastAsia" w:ascii="仿宋_GB2312" w:eastAsia="仿宋_GB2312"/>
          <w:sz w:val="28"/>
          <w:szCs w:val="28"/>
          <w:lang w:val="en-US" w:eastAsia="zh-CN"/>
        </w:rPr>
        <w:t>药学硕士专业</w:t>
      </w:r>
      <w:r>
        <w:rPr>
          <w:rFonts w:hint="eastAsia" w:ascii="仿宋_GB2312" w:eastAsia="仿宋_GB2312"/>
          <w:sz w:val="28"/>
          <w:szCs w:val="28"/>
        </w:rPr>
        <w:t>硕士学位。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（二）基本条件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eastAsia="仿宋_GB2312"/>
          <w:sz w:val="28"/>
          <w:szCs w:val="28"/>
          <w:lang w:val="en-US" w:eastAsia="zh-CN"/>
        </w:rPr>
        <w:t>2.1</w:t>
      </w:r>
      <w:r>
        <w:rPr>
          <w:rFonts w:hint="eastAsia" w:ascii="仿宋_GB2312" w:eastAsia="仿宋_GB2312"/>
          <w:sz w:val="28"/>
          <w:szCs w:val="28"/>
        </w:rPr>
        <w:t>培养方</w:t>
      </w:r>
      <w:r>
        <w:rPr>
          <w:rFonts w:hint="eastAsia" w:ascii="仿宋_GB2312" w:hAnsi="仿宋" w:eastAsia="仿宋_GB2312" w:cs="仿宋"/>
          <w:sz w:val="28"/>
          <w:szCs w:val="28"/>
        </w:rPr>
        <w:t>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本专业设置三个领域，分别是临床药学、工业药学、管理药学。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2.1.1 临床药学领域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本学位点（临床药学领域）以药师如何开展药学监护以及在临床合理用药中发挥作用为研究核心，探讨如何运用药物基因组学、临床药动学/药效学、系统评价、药物经济学等领域研究成果用于临床；探讨如何应用群体药动学及生理药动学等模型，设计个体化给药方案；研究并评价药师如何参与医生对患者的临床治疗，接受用药咨询，参加病例会诊，开展患者用药、健康教育，为患者提供多方位药学服务，进而提高临床合理用药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2.1.2 工业药学领域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本</w:t>
      </w:r>
      <w:r>
        <w:rPr>
          <w:rFonts w:hint="eastAsia" w:ascii="仿宋_GB2312" w:hAnsi="仿宋" w:eastAsia="仿宋_GB2312" w:cs="仿宋"/>
          <w:sz w:val="28"/>
          <w:szCs w:val="28"/>
          <w:lang w:val="en-US" w:eastAsia="zh-CN"/>
        </w:rPr>
        <w:t>学位点</w:t>
      </w:r>
      <w:r>
        <w:rPr>
          <w:rFonts w:hint="default" w:ascii="仿宋_GB2312" w:hAnsi="仿宋" w:eastAsia="仿宋_GB2312" w:cs="仿宋"/>
          <w:sz w:val="28"/>
          <w:szCs w:val="28"/>
          <w:lang w:val="en-US" w:eastAsia="zh-CN"/>
        </w:rPr>
        <w:t>（工业药学领域）主要基于新设备、新辅料的应用，开展制剂新剂型和新技术的研究；口服缓控释给药系统的设计、评价与产业化；新型注射给药系统的设计、评价与产业化；外用及透皮给药系统的设计、评价与产业化；黏膜给药系统的设计、评价与产业化；难溶性药物的制剂方法；制剂生产过程中的质量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2.1.3 管理药学领域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本</w:t>
      </w:r>
      <w:r>
        <w:rPr>
          <w:rFonts w:hint="eastAsia" w:ascii="仿宋_GB2312" w:hAnsi="仿宋" w:eastAsia="仿宋_GB2312" w:cs="仿宋"/>
          <w:sz w:val="28"/>
          <w:szCs w:val="28"/>
          <w:lang w:val="en-US" w:eastAsia="zh-CN"/>
        </w:rPr>
        <w:t>学位点</w:t>
      </w:r>
      <w:r>
        <w:rPr>
          <w:rFonts w:hint="default" w:ascii="仿宋_GB2312" w:hAnsi="仿宋" w:eastAsia="仿宋_GB2312" w:cs="仿宋"/>
          <w:sz w:val="28"/>
          <w:szCs w:val="28"/>
          <w:lang w:val="en-US" w:eastAsia="zh-CN"/>
        </w:rPr>
        <w:t>（管理药学领域）研究的主要任务是研究解决药物研发、生产、流通、使用、监管等各个环节中出现的管理问题，以及非临床研究技术和管理，为药物的可及性、经济性、合理性等提供相关的理论和解决方案。本学科既有现代药学</w:t>
      </w:r>
      <w:r>
        <w:rPr>
          <w:rFonts w:hint="eastAsia" w:ascii="仿宋_GB2312" w:hAnsi="仿宋" w:eastAsia="仿宋_GB2312" w:cs="仿宋"/>
          <w:sz w:val="28"/>
          <w:szCs w:val="28"/>
          <w:lang w:val="en-US" w:eastAsia="zh-CN"/>
        </w:rPr>
        <w:t>、</w:t>
      </w:r>
      <w:r>
        <w:rPr>
          <w:rFonts w:hint="default" w:ascii="仿宋_GB2312" w:hAnsi="仿宋" w:eastAsia="仿宋_GB2312" w:cs="仿宋"/>
          <w:sz w:val="28"/>
          <w:szCs w:val="28"/>
          <w:lang w:val="en-US" w:eastAsia="zh-CN"/>
        </w:rPr>
        <w:t>自然科学的属性，又有现代社会学，伦理学等社会科学的属性，是社会科学和自然科学相互渗透的产物,是社会科学属性的药学发展的高级形态。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2.2师资队伍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本学位点师资力量较为雄厚,现有教职工127人，包括专任教师97人（含研究系列10人），实验技术人员21人（包括教辅17人、科辅4人），行政管理人员4人，辅导员5人。专任教师中正高级职称25人（26%），副高级职称41人（42%），博士生导师10名（10%），硕士生导师47名（48%），具有博士学位者77名（79%），境外留学经历教师27名（28%）。师资队伍中享受国务院特殊津贴专家4名，百千万人才工程国家级人选1名，教育部新世纪优秀人才支持计划1名，爱思唯尔（Elsevier）高被引学者入选1人（2014-2019年），福建省高校教学名师2名，福建省科技创新领军人才4名，福建省海西产业人才高地领军人才1名，福建省青年拔尖创新人才2名，福建省闽江学者特聘教授1名，福建省高等学校新世纪优秀人才支持计划8人，福建省高校杰出青年科研人才培育计划8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本学位点积极整合直属附属医院优势医疗资源，打通基地、学校师资界限，设立临床药学系，由专任教师和临床药师共同参与教学任务和临床实践，形成能力互补的“双师型”师资队伍，培养成效突出，于2019年获得福建省专业学位研究生导师团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2.3科学研究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本学位点教师积极开展科学研究工作，在生物药物（抗体药物）研究、神经精神药物研究、抗肿瘤药物研究、纳米生物传感器与纳米生物医药材料研究等领域形成了显著特色。2</w:t>
      </w:r>
      <w:r>
        <w:rPr>
          <w:rFonts w:hint="default" w:ascii="仿宋_GB2312" w:hAnsi="仿宋" w:eastAsia="仿宋_GB2312" w:cs="仿宋"/>
          <w:sz w:val="28"/>
          <w:szCs w:val="28"/>
          <w:lang w:val="en-US" w:eastAsia="zh-CN"/>
        </w:rPr>
        <w:t>016</w:t>
      </w:r>
      <w:r>
        <w:rPr>
          <w:rFonts w:hint="eastAsia" w:ascii="仿宋_GB2312" w:hAnsi="仿宋" w:eastAsia="仿宋_GB2312" w:cs="仿宋"/>
          <w:sz w:val="28"/>
          <w:szCs w:val="28"/>
          <w:lang w:val="en-US" w:eastAsia="zh-CN"/>
        </w:rPr>
        <w:t>-</w:t>
      </w:r>
      <w:r>
        <w:rPr>
          <w:rFonts w:hint="default" w:ascii="仿宋_GB2312" w:hAnsi="仿宋" w:eastAsia="仿宋_GB2312" w:cs="仿宋"/>
          <w:sz w:val="28"/>
          <w:szCs w:val="28"/>
          <w:lang w:val="en-US" w:eastAsia="zh-CN"/>
        </w:rPr>
        <w:t>2020</w:t>
      </w:r>
      <w:r>
        <w:rPr>
          <w:rFonts w:hint="eastAsia" w:ascii="仿宋_GB2312" w:hAnsi="仿宋" w:eastAsia="仿宋_GB2312" w:cs="仿宋"/>
          <w:sz w:val="28"/>
          <w:szCs w:val="28"/>
          <w:lang w:val="en-US" w:eastAsia="zh-CN"/>
        </w:rPr>
        <w:t>年，新增获批省部级以上科研项目1</w:t>
      </w:r>
      <w:r>
        <w:rPr>
          <w:rFonts w:hint="default" w:ascii="仿宋_GB2312" w:hAnsi="仿宋" w:eastAsia="仿宋_GB2312" w:cs="仿宋"/>
          <w:sz w:val="28"/>
          <w:szCs w:val="28"/>
          <w:lang w:val="en-US" w:eastAsia="zh-CN"/>
        </w:rPr>
        <w:t>47</w:t>
      </w:r>
      <w:r>
        <w:rPr>
          <w:rFonts w:hint="eastAsia" w:ascii="仿宋_GB2312" w:hAnsi="仿宋" w:eastAsia="仿宋_GB2312" w:cs="仿宋"/>
          <w:sz w:val="28"/>
          <w:szCs w:val="28"/>
          <w:lang w:val="en-US" w:eastAsia="zh-CN"/>
        </w:rPr>
        <w:t>项，其中国家“重大新药创制”科技重大专项1项，国家自然科学基金</w:t>
      </w:r>
      <w:r>
        <w:rPr>
          <w:rFonts w:hint="default" w:ascii="仿宋_GB2312" w:hAnsi="仿宋" w:eastAsia="仿宋_GB2312" w:cs="仿宋"/>
          <w:sz w:val="28"/>
          <w:szCs w:val="28"/>
          <w:lang w:val="en-US" w:eastAsia="zh-CN"/>
        </w:rPr>
        <w:t>27</w:t>
      </w:r>
      <w:r>
        <w:rPr>
          <w:rFonts w:hint="eastAsia" w:ascii="仿宋_GB2312" w:hAnsi="仿宋" w:eastAsia="仿宋_GB2312" w:cs="仿宋"/>
          <w:sz w:val="28"/>
          <w:szCs w:val="28"/>
          <w:lang w:val="en-US" w:eastAsia="zh-CN"/>
        </w:rPr>
        <w:t>项，总科研经费</w:t>
      </w:r>
      <w:r>
        <w:rPr>
          <w:rFonts w:hint="default" w:ascii="仿宋_GB2312" w:hAnsi="仿宋" w:eastAsia="仿宋_GB2312" w:cs="仿宋"/>
          <w:sz w:val="28"/>
          <w:szCs w:val="28"/>
          <w:lang w:val="en-US" w:eastAsia="zh-CN"/>
        </w:rPr>
        <w:t>34</w:t>
      </w:r>
      <w:r>
        <w:rPr>
          <w:rFonts w:hint="eastAsia" w:ascii="仿宋_GB2312" w:hAnsi="仿宋" w:eastAsia="仿宋_GB2312" w:cs="仿宋"/>
          <w:sz w:val="28"/>
          <w:szCs w:val="28"/>
          <w:lang w:val="en-US" w:eastAsia="zh-CN"/>
        </w:rPr>
        <w:t>00余万元；发表研究论文</w:t>
      </w:r>
      <w:r>
        <w:rPr>
          <w:rFonts w:hint="default" w:ascii="仿宋_GB2312" w:hAnsi="仿宋" w:eastAsia="仿宋_GB2312" w:cs="仿宋"/>
          <w:sz w:val="28"/>
          <w:szCs w:val="28"/>
          <w:lang w:val="en-US" w:eastAsia="zh-CN"/>
        </w:rPr>
        <w:t>426</w:t>
      </w:r>
      <w:r>
        <w:rPr>
          <w:rFonts w:hint="eastAsia" w:ascii="仿宋_GB2312" w:hAnsi="仿宋" w:eastAsia="仿宋_GB2312" w:cs="仿宋"/>
          <w:sz w:val="28"/>
          <w:szCs w:val="28"/>
          <w:lang w:val="en-US" w:eastAsia="zh-CN"/>
        </w:rPr>
        <w:t>篇，其中SCI论文</w:t>
      </w:r>
      <w:r>
        <w:rPr>
          <w:rFonts w:hint="default" w:ascii="仿宋_GB2312" w:hAnsi="仿宋" w:eastAsia="仿宋_GB2312" w:cs="仿宋"/>
          <w:sz w:val="28"/>
          <w:szCs w:val="28"/>
          <w:lang w:val="en-US" w:eastAsia="zh-CN"/>
        </w:rPr>
        <w:t>309</w:t>
      </w:r>
      <w:r>
        <w:rPr>
          <w:rFonts w:hint="eastAsia" w:ascii="仿宋_GB2312" w:hAnsi="仿宋" w:eastAsia="仿宋_GB2312" w:cs="仿宋"/>
          <w:sz w:val="28"/>
          <w:szCs w:val="28"/>
          <w:lang w:val="en-US" w:eastAsia="zh-CN"/>
        </w:rPr>
        <w:t>篇；获得英国发明专利1项，我国发明专利9</w:t>
      </w:r>
      <w:r>
        <w:rPr>
          <w:rFonts w:hint="default" w:ascii="仿宋_GB2312" w:hAnsi="仿宋" w:eastAsia="仿宋_GB2312" w:cs="仿宋"/>
          <w:sz w:val="28"/>
          <w:szCs w:val="28"/>
          <w:lang w:val="en-US" w:eastAsia="zh-CN"/>
        </w:rPr>
        <w:t>6</w:t>
      </w:r>
      <w:r>
        <w:rPr>
          <w:rFonts w:hint="eastAsia" w:ascii="仿宋_GB2312" w:hAnsi="仿宋" w:eastAsia="仿宋_GB2312" w:cs="仿宋"/>
          <w:sz w:val="28"/>
          <w:szCs w:val="28"/>
          <w:lang w:val="en-US" w:eastAsia="zh-CN"/>
        </w:rPr>
        <w:t>项；获福建省科学技术奖一等奖1项、三等奖1项；正在开展国家化药1类品种钩吻素子（原研药）临床前研究，有望明年获得临床研究批件。努力开展开创性、系列性药学科学研究，在药理学、生物技术药物学、天然药物化学、药物分析学、纳米仿生材料等某些研究领域取得重要进展，连续</w:t>
      </w:r>
      <w:r>
        <w:rPr>
          <w:rFonts w:hint="default" w:ascii="仿宋_GB2312" w:hAnsi="仿宋" w:eastAsia="仿宋_GB2312" w:cs="仿宋"/>
          <w:sz w:val="28"/>
          <w:szCs w:val="28"/>
          <w:lang w:val="en-US" w:eastAsia="zh-CN"/>
        </w:rPr>
        <w:t>6</w:t>
      </w:r>
      <w:r>
        <w:rPr>
          <w:rFonts w:hint="eastAsia" w:ascii="仿宋_GB2312" w:hAnsi="仿宋" w:eastAsia="仿宋_GB2312" w:cs="仿宋"/>
          <w:sz w:val="28"/>
          <w:szCs w:val="28"/>
          <w:lang w:val="en-US" w:eastAsia="zh-CN"/>
        </w:rPr>
        <w:t>年入选爱思唯尔中国高被引榜单。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本年度批国家自然科学基金7项，其中面上项目3项，青年科学基金项目4项，共计获批资助经费268万元。获批2020年省科技计划项目23项，其中引导性项目1项，自然科学基金杰青项目1项，青年创新项目1项，重点项目1项，面上项目19项，获批资助经费207万元。获批2019年福建省卫生健康科研人才培养项目6项，其中医学创新项目1项，中青年骨干人才培养项目3项，青年科研课题2项，共获资助经费42万元。获批2020年福建医科大学应急攻关项目1项，资助经费15万元。获批2019年福建医科大学启航基金项目7项，其中一般项目3项，研究生创新项目4项，共获资助经费27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本学位点陈伟教授课题组在国际化学领域顶级期刊Angewandte Chemie International Edition（《德国应用化学》，Nature Index期刊，影响因子12.257）上发表学术论文1篇。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国家化药1类品种钩吻素子原料药新药注册临床前药学研究委托合作，进展良好，已完成中试制备及其质控；口服片剂新药注册临床前药学研究委托，已全面展开研究。学院同步开展钩吻素子主要药效学研究，齐头并进、系统对接、力争明年获得钩吻素子原料药及其片剂临床研究批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2.4教学科研支撑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本学位点拥有肿瘤免疫药物开发国家地方联合工程研究中心、海西免疫治疗产学研2011协同创新中心、福建省天然药物药理学重点实验室、福建省新药安全性评价中心、福建省药物靶点发现与结构功能研究重点实验室、福建省生物医药工程研究中心、福建省高校纳米医药技术重点实验室等科技平台，以及免疫治疗研究院、蛇毒研究所等2个校级研究机构；目前正在建设一个从新药发现、工程化制备、临床前药学和药理学以及安全性评价研究到临床研究为一体的“福建省新药研发中心”，为本学位点创新型人才培养、新药研发、药学科技创新与创造研究提供了有力的技术支撑和平台保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2.5奖助体系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2.5.1 奖学金设立及发放情况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本学位点研究生奖学金主要分为政府、学校、企事业单位捐赠设奖等类别，依据奖学金的评选条例及办法评定和发放奖学金，详见表1。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2020年共有3名专硕获国家奖学金，资助共6万元；13名专硕获学业奖学金，总计3.85万元。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表</w:t>
      </w: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rPr>
        <w:t>研究生奖学金体系一览表</w:t>
      </w:r>
    </w:p>
    <w:tbl>
      <w:tblPr>
        <w:tblStyle w:val="3"/>
        <w:tblW w:w="8280" w:type="dxa"/>
        <w:tblInd w:w="10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CCECFF"/>
        <w:tblLayout w:type="fixed"/>
        <w:tblCellMar>
          <w:top w:w="0" w:type="dxa"/>
          <w:left w:w="108" w:type="dxa"/>
          <w:bottom w:w="0" w:type="dxa"/>
          <w:right w:w="108" w:type="dxa"/>
        </w:tblCellMar>
      </w:tblPr>
      <w:tblGrid>
        <w:gridCol w:w="720"/>
        <w:gridCol w:w="427"/>
        <w:gridCol w:w="1013"/>
        <w:gridCol w:w="900"/>
        <w:gridCol w:w="1080"/>
        <w:gridCol w:w="1080"/>
        <w:gridCol w:w="1440"/>
        <w:gridCol w:w="162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CCECFF"/>
          <w:tblCellMar>
            <w:top w:w="0" w:type="dxa"/>
            <w:left w:w="108" w:type="dxa"/>
            <w:bottom w:w="0" w:type="dxa"/>
            <w:right w:w="108" w:type="dxa"/>
          </w:tblCellMar>
        </w:tblPrEx>
        <w:tc>
          <w:tcPr>
            <w:tcW w:w="72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center"/>
              <w:textAlignment w:val="center"/>
              <w:rPr>
                <w:rFonts w:hint="eastAsia" w:ascii="FangSong_GB2312" w:hAnsi="宋体" w:eastAsia="FangSong_GB2312" w:cs="宋体"/>
                <w:color w:val="000000"/>
                <w:kern w:val="0"/>
                <w:szCs w:val="21"/>
                <w:highlight w:val="none"/>
              </w:rPr>
            </w:pPr>
            <w:r>
              <w:rPr>
                <w:rFonts w:hint="eastAsia" w:ascii="宋体" w:hAnsi="宋体" w:cs="宋体"/>
                <w:b/>
                <w:color w:val="000000"/>
                <w:kern w:val="0"/>
                <w:szCs w:val="21"/>
                <w:highlight w:val="none"/>
              </w:rPr>
              <w:t>奖励性质</w:t>
            </w:r>
          </w:p>
        </w:tc>
        <w:tc>
          <w:tcPr>
            <w:tcW w:w="427"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rPr>
              <w:t>序号</w:t>
            </w:r>
          </w:p>
        </w:tc>
        <w:tc>
          <w:tcPr>
            <w:tcW w:w="1013"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rPr>
              <w:t>奖学金名称</w:t>
            </w:r>
          </w:p>
        </w:tc>
        <w:tc>
          <w:tcPr>
            <w:tcW w:w="90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center"/>
              <w:textAlignment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设奖</w:t>
            </w:r>
          </w:p>
          <w:p>
            <w:pPr>
              <w:widowControl/>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rPr>
              <w:t>单位</w:t>
            </w:r>
          </w:p>
        </w:tc>
        <w:tc>
          <w:tcPr>
            <w:tcW w:w="108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rPr>
              <w:t>奖励对象</w:t>
            </w:r>
          </w:p>
        </w:tc>
        <w:tc>
          <w:tcPr>
            <w:tcW w:w="108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rPr>
              <w:t>奖励名额</w:t>
            </w:r>
          </w:p>
        </w:tc>
        <w:tc>
          <w:tcPr>
            <w:tcW w:w="144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rPr>
              <w:t>条件与特点</w:t>
            </w:r>
          </w:p>
        </w:tc>
        <w:tc>
          <w:tcPr>
            <w:tcW w:w="162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rPr>
              <w:t>奖励金额</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CCECFF"/>
          <w:tblCellMar>
            <w:top w:w="0" w:type="dxa"/>
            <w:left w:w="108" w:type="dxa"/>
            <w:bottom w:w="0" w:type="dxa"/>
            <w:right w:w="108" w:type="dxa"/>
          </w:tblCellMar>
        </w:tblPrEx>
        <w:tc>
          <w:tcPr>
            <w:tcW w:w="720" w:type="dxa"/>
            <w:tcBorders>
              <w:top w:val="dotted" w:color="auto" w:sz="4" w:space="0"/>
              <w:left w:val="dotted" w:color="auto" w:sz="4" w:space="0"/>
              <w:bottom w:val="dotted" w:color="auto" w:sz="4" w:space="0"/>
              <w:right w:val="dotted" w:color="auto" w:sz="4" w:space="0"/>
            </w:tcBorders>
            <w:shd w:val="clear" w:color="auto" w:fill="FFFFFF"/>
            <w:vAlign w:val="center"/>
          </w:tcPr>
          <w:p>
            <w:pPr>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政府设奖</w:t>
            </w:r>
          </w:p>
        </w:tc>
        <w:tc>
          <w:tcPr>
            <w:tcW w:w="427"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1</w:t>
            </w:r>
          </w:p>
        </w:tc>
        <w:tc>
          <w:tcPr>
            <w:tcW w:w="1013"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国家奖学金</w:t>
            </w:r>
          </w:p>
        </w:tc>
        <w:tc>
          <w:tcPr>
            <w:tcW w:w="90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财政部</w:t>
            </w:r>
          </w:p>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教育部</w:t>
            </w:r>
          </w:p>
        </w:tc>
        <w:tc>
          <w:tcPr>
            <w:tcW w:w="108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default" w:ascii="宋体" w:hAnsi="宋体" w:cs="宋体" w:eastAsiaTheme="minorEastAsia"/>
                <w:color w:val="000000"/>
                <w:szCs w:val="21"/>
                <w:highlight w:val="none"/>
                <w:lang w:val="en-US" w:eastAsia="zh-CN"/>
              </w:rPr>
            </w:pPr>
            <w:r>
              <w:rPr>
                <w:rFonts w:hint="eastAsia" w:ascii="宋体" w:hAnsi="宋体" w:cs="宋体"/>
                <w:color w:val="000000"/>
                <w:kern w:val="0"/>
                <w:szCs w:val="21"/>
                <w:highlight w:val="none"/>
                <w:lang w:val="en-US" w:eastAsia="zh-CN"/>
              </w:rPr>
              <w:t>全体全日制在校研究生</w:t>
            </w:r>
          </w:p>
        </w:tc>
        <w:tc>
          <w:tcPr>
            <w:tcW w:w="108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按照上级下拨名额</w:t>
            </w:r>
          </w:p>
        </w:tc>
        <w:tc>
          <w:tcPr>
            <w:tcW w:w="144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在学术创新、参与班级活动等突出者</w:t>
            </w:r>
          </w:p>
        </w:tc>
        <w:tc>
          <w:tcPr>
            <w:tcW w:w="162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博士3万元/人；硕士2万元/人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CCECFF"/>
          <w:tblCellMar>
            <w:top w:w="0" w:type="dxa"/>
            <w:left w:w="108" w:type="dxa"/>
            <w:bottom w:w="0" w:type="dxa"/>
            <w:right w:w="108" w:type="dxa"/>
          </w:tblCellMar>
        </w:tblPrEx>
        <w:tc>
          <w:tcPr>
            <w:tcW w:w="720" w:type="dxa"/>
            <w:tcBorders>
              <w:top w:val="dotted" w:color="auto" w:sz="4" w:space="0"/>
              <w:left w:val="dotted" w:color="auto" w:sz="4" w:space="0"/>
              <w:bottom w:val="dotted" w:color="auto" w:sz="4" w:space="0"/>
              <w:right w:val="dotted" w:color="auto" w:sz="4" w:space="0"/>
            </w:tcBorders>
            <w:shd w:val="clear" w:color="auto" w:fill="FFFFFF"/>
            <w:vAlign w:val="center"/>
          </w:tcPr>
          <w:p>
            <w:pPr>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学校设奖</w:t>
            </w:r>
          </w:p>
        </w:tc>
        <w:tc>
          <w:tcPr>
            <w:tcW w:w="427"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2</w:t>
            </w:r>
          </w:p>
        </w:tc>
        <w:tc>
          <w:tcPr>
            <w:tcW w:w="1013"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研究生学业奖学金</w:t>
            </w:r>
          </w:p>
        </w:tc>
        <w:tc>
          <w:tcPr>
            <w:tcW w:w="90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福建医科大学</w:t>
            </w:r>
          </w:p>
        </w:tc>
        <w:tc>
          <w:tcPr>
            <w:tcW w:w="108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color w:val="000000"/>
                <w:szCs w:val="21"/>
                <w:highlight w:val="none"/>
              </w:rPr>
              <w:t>入学满一学年的全日制研究生</w:t>
            </w:r>
          </w:p>
        </w:tc>
        <w:tc>
          <w:tcPr>
            <w:tcW w:w="108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default" w:ascii="宋体" w:hAnsi="宋体" w:cs="宋体" w:eastAsiaTheme="minorEastAsia"/>
                <w:color w:val="000000"/>
                <w:kern w:val="0"/>
                <w:szCs w:val="21"/>
                <w:highlight w:val="none"/>
                <w:lang w:val="en-US" w:eastAsia="zh-CN"/>
              </w:rPr>
            </w:pPr>
            <w:r>
              <w:rPr>
                <w:rFonts w:hint="eastAsia" w:ascii="宋体" w:hAnsi="宋体" w:cs="宋体"/>
                <w:color w:val="000000"/>
                <w:kern w:val="0"/>
                <w:szCs w:val="21"/>
                <w:highlight w:val="none"/>
                <w:lang w:val="en-US" w:eastAsia="zh-CN"/>
              </w:rPr>
              <w:t>年级总人数的50%</w:t>
            </w:r>
          </w:p>
        </w:tc>
        <w:tc>
          <w:tcPr>
            <w:tcW w:w="144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全日制研究生</w:t>
            </w:r>
          </w:p>
        </w:tc>
        <w:tc>
          <w:tcPr>
            <w:tcW w:w="162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default" w:ascii="宋体" w:hAnsi="宋体" w:cs="宋体" w:eastAsiaTheme="minorEastAsia"/>
                <w:color w:val="000000"/>
                <w:kern w:val="0"/>
                <w:szCs w:val="21"/>
                <w:highlight w:val="none"/>
                <w:lang w:val="en-US" w:eastAsia="zh-CN"/>
              </w:rPr>
            </w:pPr>
            <w:r>
              <w:rPr>
                <w:rFonts w:hint="eastAsia" w:ascii="宋体" w:hAnsi="宋体" w:cs="宋体"/>
                <w:color w:val="000000"/>
                <w:kern w:val="0"/>
                <w:szCs w:val="21"/>
                <w:highlight w:val="none"/>
                <w:lang w:val="en-US" w:eastAsia="zh-CN"/>
              </w:rPr>
              <w:t>一等5000元/人，二等3500元/人，三等2500元/人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CCECFF"/>
          <w:tblCellMar>
            <w:top w:w="0" w:type="dxa"/>
            <w:left w:w="108" w:type="dxa"/>
            <w:bottom w:w="0" w:type="dxa"/>
            <w:right w:w="108" w:type="dxa"/>
          </w:tblCellMar>
        </w:tblPrEx>
        <w:tc>
          <w:tcPr>
            <w:tcW w:w="720" w:type="dxa"/>
            <w:tcBorders>
              <w:top w:val="dotted" w:color="auto" w:sz="4" w:space="0"/>
              <w:left w:val="dotted" w:color="auto" w:sz="4" w:space="0"/>
              <w:bottom w:val="dotted" w:color="auto" w:sz="4" w:space="0"/>
              <w:right w:val="dotted" w:color="auto" w:sz="4" w:space="0"/>
            </w:tcBorders>
            <w:shd w:val="clear" w:color="auto" w:fill="FFFFFF"/>
            <w:vAlign w:val="center"/>
          </w:tcPr>
          <w:p>
            <w:pPr>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学校设奖</w:t>
            </w:r>
          </w:p>
        </w:tc>
        <w:tc>
          <w:tcPr>
            <w:tcW w:w="427"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eastAsiaTheme="minorEastAsia"/>
                <w:color w:val="000000"/>
                <w:kern w:val="0"/>
                <w:szCs w:val="21"/>
                <w:highlight w:val="none"/>
                <w:lang w:val="en-US" w:eastAsia="zh-CN"/>
              </w:rPr>
            </w:pPr>
            <w:r>
              <w:rPr>
                <w:rFonts w:hint="eastAsia" w:ascii="宋体" w:hAnsi="宋体" w:cs="宋体"/>
                <w:color w:val="000000"/>
                <w:kern w:val="0"/>
                <w:szCs w:val="21"/>
                <w:highlight w:val="none"/>
                <w:lang w:val="en-US" w:eastAsia="zh-CN"/>
              </w:rPr>
              <w:t>3</w:t>
            </w:r>
          </w:p>
        </w:tc>
        <w:tc>
          <w:tcPr>
            <w:tcW w:w="1013"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大学生创新创业奖学金</w:t>
            </w:r>
          </w:p>
        </w:tc>
        <w:tc>
          <w:tcPr>
            <w:tcW w:w="90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福建医科大学</w:t>
            </w:r>
          </w:p>
        </w:tc>
        <w:tc>
          <w:tcPr>
            <w:tcW w:w="108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default"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rPr>
              <w:t>全体在校研究生</w:t>
            </w:r>
          </w:p>
        </w:tc>
        <w:tc>
          <w:tcPr>
            <w:tcW w:w="108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vanish/>
                <w:color w:val="000000"/>
                <w:kern w:val="0"/>
                <w:szCs w:val="21"/>
                <w:highlight w:val="none"/>
                <w:lang w:val="en-US" w:eastAsia="zh-CN"/>
              </w:rPr>
            </w:pPr>
            <w:r>
              <w:rPr>
                <w:rFonts w:hint="eastAsia" w:ascii="宋体" w:hAnsi="宋体" w:cs="宋体"/>
                <w:vanish/>
                <w:color w:val="000000"/>
                <w:kern w:val="0"/>
                <w:szCs w:val="21"/>
                <w:highlight w:val="none"/>
                <w:lang w:val="en-US" w:eastAsia="zh-CN"/>
              </w:rPr>
              <w:t>30303330</w:t>
            </w:r>
          </w:p>
          <w:p>
            <w:pPr>
              <w:bidi w:val="0"/>
              <w:jc w:val="left"/>
              <w:rPr>
                <w:rFonts w:hint="default" w:eastAsiaTheme="minorEastAsia"/>
                <w:color w:val="000000"/>
                <w:lang w:val="en-US" w:eastAsia="zh-CN"/>
              </w:rPr>
            </w:pPr>
            <w:r>
              <w:rPr>
                <w:rFonts w:hint="eastAsia" w:ascii="宋体" w:hAnsi="宋体" w:cs="宋体"/>
                <w:color w:val="000000"/>
                <w:kern w:val="0"/>
                <w:szCs w:val="21"/>
                <w:highlight w:val="none"/>
                <w:lang w:val="en-US" w:eastAsia="zh-CN"/>
              </w:rPr>
              <w:t>个人3</w:t>
            </w:r>
            <w:r>
              <w:rPr>
                <w:rFonts w:hint="eastAsia" w:ascii="宋体" w:hAnsi="宋体" w:cs="宋体"/>
                <w:color w:val="000000"/>
                <w:kern w:val="0"/>
                <w:szCs w:val="21"/>
                <w:highlight w:val="none"/>
              </w:rPr>
              <w:t>0名</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团队10支</w:t>
            </w:r>
          </w:p>
        </w:tc>
        <w:tc>
          <w:tcPr>
            <w:tcW w:w="144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default" w:ascii="宋体" w:hAnsi="宋体" w:cs="宋体" w:eastAsiaTheme="minorEastAsia"/>
                <w:color w:val="000000"/>
                <w:kern w:val="0"/>
                <w:szCs w:val="21"/>
                <w:highlight w:val="none"/>
                <w:lang w:val="en-US" w:eastAsia="zh-CN"/>
              </w:rPr>
            </w:pPr>
            <w:r>
              <w:rPr>
                <w:rFonts w:hint="eastAsia" w:ascii="宋体" w:hAnsi="宋体" w:cs="宋体"/>
                <w:color w:val="000000"/>
                <w:kern w:val="0"/>
                <w:szCs w:val="21"/>
                <w:highlight w:val="none"/>
                <w:lang w:val="en-US" w:eastAsia="zh-CN"/>
              </w:rPr>
              <w:t>创新创业实践中成绩优秀的研究生个人和团队</w:t>
            </w:r>
          </w:p>
        </w:tc>
        <w:tc>
          <w:tcPr>
            <w:tcW w:w="162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default" w:ascii="宋体" w:hAnsi="宋体" w:cs="宋体" w:eastAsiaTheme="minorEastAsia"/>
                <w:color w:val="000000"/>
                <w:kern w:val="0"/>
                <w:szCs w:val="21"/>
                <w:highlight w:val="none"/>
                <w:lang w:val="en-US" w:eastAsia="zh-CN"/>
              </w:rPr>
            </w:pPr>
            <w:r>
              <w:rPr>
                <w:rFonts w:hint="eastAsia" w:ascii="宋体" w:hAnsi="宋体" w:cs="宋体"/>
                <w:color w:val="000000"/>
                <w:kern w:val="0"/>
                <w:szCs w:val="21"/>
                <w:highlight w:val="none"/>
                <w:lang w:val="en-US" w:eastAsia="zh-CN"/>
              </w:rPr>
              <w:t>2000元/人，5000人/团队</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CCECFF"/>
          <w:tblCellMar>
            <w:top w:w="0" w:type="dxa"/>
            <w:left w:w="108" w:type="dxa"/>
            <w:bottom w:w="0" w:type="dxa"/>
            <w:right w:w="108" w:type="dxa"/>
          </w:tblCellMar>
        </w:tblPrEx>
        <w:tc>
          <w:tcPr>
            <w:tcW w:w="720" w:type="dxa"/>
            <w:tcBorders>
              <w:top w:val="dotted" w:color="auto" w:sz="4" w:space="0"/>
              <w:left w:val="dotted" w:color="auto" w:sz="4" w:space="0"/>
              <w:bottom w:val="dotted" w:color="auto" w:sz="4" w:space="0"/>
              <w:right w:val="dotted" w:color="auto" w:sz="4" w:space="0"/>
            </w:tcBorders>
            <w:shd w:val="clear" w:color="auto" w:fill="FFFFFF"/>
            <w:vAlign w:val="center"/>
          </w:tcPr>
          <w:p>
            <w:pPr>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企事业单位设奖</w:t>
            </w:r>
          </w:p>
        </w:tc>
        <w:tc>
          <w:tcPr>
            <w:tcW w:w="427"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eastAsiaTheme="minorEastAsia"/>
                <w:color w:val="000000"/>
                <w:szCs w:val="21"/>
                <w:highlight w:val="none"/>
                <w:lang w:eastAsia="zh-CN"/>
              </w:rPr>
            </w:pPr>
            <w:r>
              <w:rPr>
                <w:rFonts w:hint="eastAsia" w:ascii="宋体" w:hAnsi="宋体" w:cs="宋体"/>
                <w:color w:val="000000"/>
                <w:kern w:val="0"/>
                <w:szCs w:val="21"/>
                <w:highlight w:val="none"/>
                <w:lang w:val="en-US" w:eastAsia="zh-CN"/>
              </w:rPr>
              <w:t>4</w:t>
            </w:r>
          </w:p>
        </w:tc>
        <w:tc>
          <w:tcPr>
            <w:tcW w:w="1013"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协和奖学金</w:t>
            </w:r>
          </w:p>
        </w:tc>
        <w:tc>
          <w:tcPr>
            <w:tcW w:w="90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福建医科大学附属协和医院</w:t>
            </w:r>
          </w:p>
        </w:tc>
        <w:tc>
          <w:tcPr>
            <w:tcW w:w="108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color w:val="000000"/>
                <w:szCs w:val="21"/>
                <w:highlight w:val="none"/>
              </w:rPr>
              <w:t>入学满一学年的全日制研究生</w:t>
            </w:r>
          </w:p>
        </w:tc>
        <w:tc>
          <w:tcPr>
            <w:tcW w:w="108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10名</w:t>
            </w:r>
          </w:p>
        </w:tc>
        <w:tc>
          <w:tcPr>
            <w:tcW w:w="144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成绩优秀，社会贡献突出等</w:t>
            </w:r>
          </w:p>
        </w:tc>
        <w:tc>
          <w:tcPr>
            <w:tcW w:w="162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6000</w:t>
            </w:r>
            <w:r>
              <w:rPr>
                <w:rStyle w:val="6"/>
                <w:rFonts w:hint="default"/>
                <w:color w:val="000000"/>
                <w:highlight w:val="none"/>
              </w:rPr>
              <w:t>元</w:t>
            </w:r>
            <w:r>
              <w:rPr>
                <w:rStyle w:val="7"/>
                <w:color w:val="000000"/>
                <w:highlight w:val="none"/>
              </w:rPr>
              <w:t>/</w:t>
            </w:r>
            <w:r>
              <w:rPr>
                <w:rStyle w:val="6"/>
                <w:rFonts w:hint="default"/>
                <w:color w:val="000000"/>
                <w:highlight w:val="none"/>
              </w:rPr>
              <w:t>人,其中特别奖为10000元</w:t>
            </w:r>
            <w:r>
              <w:rPr>
                <w:rStyle w:val="7"/>
                <w:color w:val="000000"/>
                <w:highlight w:val="none"/>
              </w:rPr>
              <w:t>/</w:t>
            </w:r>
            <w:r>
              <w:rPr>
                <w:rStyle w:val="6"/>
                <w:rFonts w:hint="default"/>
                <w:color w:val="000000"/>
                <w:highlight w:val="none"/>
              </w:rPr>
              <w:t>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CCECFF"/>
          <w:tblCellMar>
            <w:top w:w="0" w:type="dxa"/>
            <w:left w:w="108" w:type="dxa"/>
            <w:bottom w:w="0" w:type="dxa"/>
            <w:right w:w="108" w:type="dxa"/>
          </w:tblCellMar>
        </w:tblPrEx>
        <w:tc>
          <w:tcPr>
            <w:tcW w:w="720" w:type="dxa"/>
            <w:tcBorders>
              <w:top w:val="dotted" w:color="auto" w:sz="4" w:space="0"/>
              <w:left w:val="dotted" w:color="auto" w:sz="4" w:space="0"/>
              <w:bottom w:val="dotted" w:color="auto" w:sz="4" w:space="0"/>
              <w:right w:val="dotted" w:color="auto" w:sz="4" w:space="0"/>
            </w:tcBorders>
            <w:shd w:val="clear" w:color="auto" w:fill="FFFFFF"/>
            <w:vAlign w:val="center"/>
          </w:tcPr>
          <w:p>
            <w:pPr>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企事业单位设奖</w:t>
            </w:r>
          </w:p>
        </w:tc>
        <w:tc>
          <w:tcPr>
            <w:tcW w:w="427"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eastAsiaTheme="minorEastAsia"/>
                <w:color w:val="000000"/>
                <w:szCs w:val="21"/>
                <w:highlight w:val="none"/>
                <w:lang w:eastAsia="zh-CN"/>
              </w:rPr>
            </w:pPr>
            <w:r>
              <w:rPr>
                <w:rFonts w:hint="eastAsia" w:ascii="宋体" w:hAnsi="宋体" w:cs="宋体"/>
                <w:color w:val="000000"/>
                <w:kern w:val="0"/>
                <w:szCs w:val="21"/>
                <w:highlight w:val="none"/>
                <w:lang w:val="en-US" w:eastAsia="zh-CN"/>
              </w:rPr>
              <w:t>5</w:t>
            </w:r>
          </w:p>
        </w:tc>
        <w:tc>
          <w:tcPr>
            <w:tcW w:w="1013"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联邦医学教育奖学金</w:t>
            </w:r>
          </w:p>
        </w:tc>
        <w:tc>
          <w:tcPr>
            <w:tcW w:w="90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联邦制药公司</w:t>
            </w:r>
          </w:p>
        </w:tc>
        <w:tc>
          <w:tcPr>
            <w:tcW w:w="108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color w:val="000000"/>
                <w:szCs w:val="21"/>
                <w:highlight w:val="none"/>
              </w:rPr>
              <w:t>入学满一学年的全日制研究生</w:t>
            </w:r>
          </w:p>
        </w:tc>
        <w:tc>
          <w:tcPr>
            <w:tcW w:w="108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20名</w:t>
            </w:r>
          </w:p>
        </w:tc>
        <w:tc>
          <w:tcPr>
            <w:tcW w:w="144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成绩优秀，社会贡献突出等</w:t>
            </w:r>
          </w:p>
        </w:tc>
        <w:tc>
          <w:tcPr>
            <w:tcW w:w="162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val="en-US" w:eastAsia="zh-CN"/>
              </w:rPr>
              <w:t>3000</w:t>
            </w:r>
            <w:r>
              <w:rPr>
                <w:rFonts w:hint="eastAsia" w:ascii="宋体" w:hAnsi="宋体" w:cs="宋体"/>
                <w:color w:val="000000"/>
                <w:kern w:val="0"/>
                <w:szCs w:val="21"/>
                <w:highlight w:val="none"/>
              </w:rPr>
              <w:t>元</w:t>
            </w:r>
            <w:r>
              <w:rPr>
                <w:rStyle w:val="7"/>
                <w:color w:val="000000"/>
                <w:highlight w:val="none"/>
              </w:rPr>
              <w:t>/</w:t>
            </w:r>
            <w:r>
              <w:rPr>
                <w:rStyle w:val="6"/>
                <w:rFonts w:hint="default"/>
                <w:color w:val="000000"/>
                <w:highlight w:val="none"/>
              </w:rPr>
              <w:t>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CCECFF"/>
          <w:tblCellMar>
            <w:top w:w="0" w:type="dxa"/>
            <w:left w:w="108" w:type="dxa"/>
            <w:bottom w:w="0" w:type="dxa"/>
            <w:right w:w="108" w:type="dxa"/>
          </w:tblCellMar>
        </w:tblPrEx>
        <w:tc>
          <w:tcPr>
            <w:tcW w:w="720" w:type="dxa"/>
            <w:tcBorders>
              <w:top w:val="dotted" w:color="auto" w:sz="4" w:space="0"/>
              <w:left w:val="dotted" w:color="auto" w:sz="4" w:space="0"/>
              <w:bottom w:val="dotted" w:color="auto" w:sz="4" w:space="0"/>
              <w:right w:val="dotted" w:color="auto" w:sz="4" w:space="0"/>
            </w:tcBorders>
            <w:shd w:val="clear" w:color="auto" w:fill="FFFFFF"/>
            <w:vAlign w:val="center"/>
          </w:tcPr>
          <w:p>
            <w:pPr>
              <w:jc w:val="left"/>
              <w:rPr>
                <w:rFonts w:hint="eastAsia" w:ascii="宋体" w:hAnsi="宋体" w:cs="宋体" w:eastAsiaTheme="minorEastAsia"/>
                <w:color w:val="000000"/>
                <w:kern w:val="0"/>
                <w:sz w:val="21"/>
                <w:szCs w:val="21"/>
                <w:highlight w:val="none"/>
                <w:lang w:val="en-US" w:eastAsia="zh-CN" w:bidi="ar-SA"/>
              </w:rPr>
            </w:pPr>
            <w:r>
              <w:rPr>
                <w:rFonts w:hint="eastAsia" w:ascii="宋体" w:hAnsi="宋体" w:cs="宋体"/>
                <w:color w:val="000000"/>
                <w:kern w:val="0"/>
                <w:szCs w:val="21"/>
                <w:highlight w:val="none"/>
              </w:rPr>
              <w:t>企事业单位设奖</w:t>
            </w:r>
          </w:p>
        </w:tc>
        <w:tc>
          <w:tcPr>
            <w:tcW w:w="427"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rPr>
              <w:t>6</w:t>
            </w:r>
          </w:p>
        </w:tc>
        <w:tc>
          <w:tcPr>
            <w:tcW w:w="1013"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default"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大博奖学金</w:t>
            </w:r>
          </w:p>
        </w:tc>
        <w:tc>
          <w:tcPr>
            <w:tcW w:w="90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default"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大博医疗科技股份有限公司</w:t>
            </w:r>
          </w:p>
        </w:tc>
        <w:tc>
          <w:tcPr>
            <w:tcW w:w="108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default"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rPr>
              <w:t>全体全日制在校研究生</w:t>
            </w:r>
          </w:p>
        </w:tc>
        <w:tc>
          <w:tcPr>
            <w:tcW w:w="108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default"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rPr>
              <w:t>大博创新奖5</w:t>
            </w:r>
            <w:r>
              <w:rPr>
                <w:rFonts w:hint="eastAsia" w:ascii="宋体" w:hAnsi="宋体" w:cs="宋体"/>
                <w:color w:val="000000"/>
                <w:kern w:val="0"/>
                <w:szCs w:val="21"/>
                <w:highlight w:val="none"/>
              </w:rPr>
              <w:t>名</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大博优秀奖2名</w:t>
            </w:r>
          </w:p>
        </w:tc>
        <w:tc>
          <w:tcPr>
            <w:tcW w:w="144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default"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科研创新能力突出，成绩显著者</w:t>
            </w:r>
          </w:p>
        </w:tc>
        <w:tc>
          <w:tcPr>
            <w:tcW w:w="162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hint="eastAsia" w:ascii="宋体" w:hAnsi="宋体" w:cs="宋体" w:eastAsiaTheme="minorEastAsia"/>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rPr>
              <w:t>100</w:t>
            </w:r>
            <w:r>
              <w:rPr>
                <w:rFonts w:hint="eastAsia" w:ascii="宋体" w:hAnsi="宋体" w:cs="宋体"/>
                <w:color w:val="000000"/>
                <w:kern w:val="0"/>
                <w:szCs w:val="21"/>
                <w:highlight w:val="none"/>
              </w:rPr>
              <w:t>00元</w:t>
            </w:r>
            <w:r>
              <w:rPr>
                <w:rStyle w:val="7"/>
                <w:color w:val="000000"/>
                <w:highlight w:val="none"/>
              </w:rPr>
              <w:t>/</w:t>
            </w:r>
            <w:r>
              <w:rPr>
                <w:rStyle w:val="6"/>
                <w:rFonts w:hint="default"/>
                <w:color w:val="000000"/>
                <w:highlight w:val="none"/>
              </w:rPr>
              <w:t>人</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2.5.2 助学金设立及发放情况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我校助学金主要包括：研究生国家助学金（含国家下拨经费与学校投入经费）、研究生“三助”（助教、助研、助管）津贴、研究生学杂费减免和临时困难补助等。具体如下：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（1）定额按月发放国家助学金。学校按照层次，向基础学科倾斜的原则制定国家助学金标准，专业学位硕士24000元/学年/生。2020年共发放国家助学金114万元。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设立三助岗位。助研津贴从导师科研经费支付，本年度共资助全院120名博硕士研究生，资助金额达到43.8万元。本年度资助药学硕士专业学位研究生5人，合计1.8万元，占比较低主要由于大多数临床药学领域研究生参加临床轮转，参与科研时间不足。根据我校教务处有关规定，本学位点不再设置助教岗位。助管岗位由学校出资，承担研究生教育及其他的管理辅助工作，岗位津贴为每月720元，工作量每周8-12小时，设立临时勤工助学岗位，19人次临时岗位发放0.88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研究生学杂费减免。我校制定了《福建医科大学家庭经济困难研究生认定工作实施细则》（闽医大[2015]34号）和《福建医科大学研究生学杂费减免实施细则》（闽医大[2019]277号），每学年根据研究生困难情况认定的经济特别困难研究生（占学生数5%）、一般困难研究生（占学生数15%），分别减免8000元和4000元学杂费。2020年为4名学生减免学费2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（4）设立临时困难补助，帮助家庭或者本人遭遇生病等突发事故的经济困难的研究生。学生可根据实际情况申请，临时困难补助的标准为500～1000元。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（5）发放临近毕业还面对求职毕业生设立求职补贴，补贴标准为2000元。 2020年资助了4人次共0.8万元。</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（三）人才培养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3.1思想政治教育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本学位点坚持以习近平新时代中国特色社会主义思想为指导，牢牢把握社会主义办学方向，落实立德树人根本任务，深化“三全育人”工作机制，把思政工作贯穿教育教学全过程，努力提升人才培养针对性实效性。围绕立德树人实施“1234育人工程”。统筹“一个任务”，围绕立德树人根本任务，教育引导师生自觉践行社会主义核心价值观，把铸魂育人贯穿教育教学和科学研究全过程；推进“两个计划”，扎实推进“思政辅导员与研究生导师素质能力提升”计划和“研究生教育管理工作体系构建”计划，提升管理工作的科学化专业化水平，助力人才培养可持续高质量发展；贯穿“三大主线”，引领学生思想政治教育的航线、构建学风建设的长线和坚守安全稳定的底线；落实“四个项目”，全面实施“铸魂育人引航项目”“服务育人提升项目”“文化育人提炼项目”和“双创就业提质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黑体" w:eastAsia="仿宋_GB2312" w:cs="黑体"/>
          <w:bCs/>
          <w:sz w:val="28"/>
          <w:szCs w:val="28"/>
        </w:rPr>
      </w:pPr>
      <w:r>
        <w:rPr>
          <w:rFonts w:hint="eastAsia" w:ascii="仿宋_GB2312" w:hAnsi="黑体" w:eastAsia="仿宋_GB2312" w:cs="黑体"/>
          <w:bCs/>
          <w:sz w:val="28"/>
          <w:szCs w:val="28"/>
          <w:lang w:val="en-US" w:eastAsia="zh-CN"/>
        </w:rPr>
        <w:t>3.2</w:t>
      </w:r>
      <w:r>
        <w:rPr>
          <w:rFonts w:hint="eastAsia" w:ascii="仿宋_GB2312" w:hAnsi="黑体" w:eastAsia="仿宋_GB2312" w:cs="黑体"/>
          <w:bCs/>
          <w:sz w:val="28"/>
          <w:szCs w:val="28"/>
        </w:rPr>
        <w:t>师德师风建设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本学位点坚持以社会主义核心价值观为指导，依据《福建医科大学师德师风建设工作实施方案》、《福建医科大学师德师风考评办法》、《福建医科大学师德师风建设负面清单》、《福建医科大学师德师风建设年活动方案》等文件，加强师德师风建设，形成良好的教风学风。通过院领导和学术带头人督导、教师互评以及学生评教等方式，及时掌握师德师风信息动态。不断完善师德师风监督机制，建立线上、线下师德师风监督平台，发挥学术委员会作用，加强师德师风教风学风监督检查。根据《福建医科大学教师职业道德规范》，确立本学位点教师职业道德规范和职业道德行为准则。依据《福建医科大学教职工师德失范行为处理办法》、《福建医科大学预防与处理学术不端行为暂行办法》、《福建医科大学遴选研究生指导教师工作暂行办法》、《福建医科大学关于加强和完善教学质量保障体系的实施意见》等办法，不断规范教育教学过程和教师学术行为，加强职业道德教育，严防严查师德失范、学术不端等行为。将师德师风表现作为教师年度考核、岗位聘用、职务聘任、评优奖励的首要标准，实行师德表现一票否决制，强化对师德失范行为的约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黑体" w:eastAsia="仿宋_GB2312" w:cs="黑体"/>
          <w:bCs/>
          <w:sz w:val="28"/>
          <w:szCs w:val="28"/>
          <w:highlight w:val="none"/>
        </w:rPr>
      </w:pPr>
      <w:r>
        <w:rPr>
          <w:rFonts w:hint="eastAsia" w:ascii="仿宋_GB2312" w:hAnsi="黑体" w:eastAsia="仿宋_GB2312" w:cs="黑体"/>
          <w:bCs/>
          <w:sz w:val="28"/>
          <w:szCs w:val="28"/>
          <w:highlight w:val="none"/>
          <w:lang w:val="en-US" w:eastAsia="zh-CN"/>
        </w:rPr>
        <w:t>3.3</w:t>
      </w:r>
      <w:r>
        <w:rPr>
          <w:rFonts w:hint="eastAsia" w:ascii="仿宋_GB2312" w:hAnsi="黑体" w:eastAsia="仿宋_GB2312" w:cs="黑体"/>
          <w:bCs/>
          <w:sz w:val="28"/>
          <w:szCs w:val="28"/>
          <w:highlight w:val="none"/>
        </w:rPr>
        <w:t>招生选拔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黑体" w:eastAsia="仿宋_GB2312" w:cs="黑体"/>
          <w:bCs/>
          <w:sz w:val="28"/>
          <w:szCs w:val="28"/>
          <w:highlight w:val="none"/>
          <w:lang w:val="en-US" w:eastAsia="zh-CN"/>
        </w:rPr>
      </w:pPr>
      <w:r>
        <w:rPr>
          <w:rFonts w:hint="eastAsia" w:ascii="仿宋_GB2312" w:hAnsi="黑体" w:eastAsia="仿宋_GB2312" w:cs="黑体"/>
          <w:bCs/>
          <w:sz w:val="28"/>
          <w:szCs w:val="28"/>
          <w:highlight w:val="none"/>
          <w:lang w:val="en-US" w:eastAsia="zh-CN"/>
        </w:rPr>
        <w:t>3.3.1总体情况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本年度，本学位点共招收全日制药学硕士专业学位研究生37人，其中临床药学领域21人，工业药学领域8人，管理药学领域8人。</w:t>
      </w:r>
    </w:p>
    <w:p>
      <w:pPr>
        <w:rPr>
          <w:rFonts w:hint="eastAsia"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3.3.2生源情况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统考硕士研究生报名人数43人，录取37人，考录比为1.2:1。录取一志愿（含校内调剂）考生25人，校外调剂考生12人。从学员结构来看，毕业于本校的共17人，占比46%。毕业于其他院校的20人，占比54%，学缘交流及融合度较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黑体" w:eastAsia="仿宋_GB2312" w:cs="黑体"/>
          <w:bCs/>
          <w:sz w:val="28"/>
          <w:szCs w:val="28"/>
          <w:highlight w:val="none"/>
          <w:lang w:val="en-US" w:eastAsia="zh-CN"/>
        </w:rPr>
      </w:pPr>
      <w:r>
        <w:rPr>
          <w:rFonts w:hint="eastAsia" w:ascii="仿宋_GB2312" w:hAnsi="黑体" w:eastAsia="仿宋_GB2312" w:cs="黑体"/>
          <w:bCs/>
          <w:sz w:val="28"/>
          <w:szCs w:val="28"/>
          <w:highlight w:val="none"/>
          <w:lang w:val="en-US" w:eastAsia="zh-CN"/>
        </w:rPr>
        <w:t>3.3.3研究生招生机制改革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pPr>
      <w:r>
        <w:rPr>
          <w:rFonts w:ascii="仿宋_GB2312" w:hAnsi="宋体" w:eastAsia="仿宋_GB2312" w:cs="仿宋_GB2312"/>
          <w:color w:val="000000"/>
          <w:kern w:val="0"/>
          <w:sz w:val="28"/>
          <w:szCs w:val="28"/>
          <w:lang w:val="en-US" w:eastAsia="zh-CN" w:bidi="ar"/>
        </w:rPr>
        <w:t>加强过程监督管理，确保招生安全平稳</w:t>
      </w:r>
      <w:r>
        <w:rPr>
          <w:rFonts w:hint="eastAsia" w:ascii="仿宋_GB2312" w:hAnsi="宋体" w:eastAsia="仿宋_GB2312" w:cs="仿宋_GB2312"/>
          <w:color w:val="000000"/>
          <w:kern w:val="0"/>
          <w:sz w:val="28"/>
          <w:szCs w:val="28"/>
          <w:lang w:val="en-US" w:eastAsia="zh-CN" w:bidi="ar"/>
        </w:rPr>
        <w:t>，复试全过程考生零投诉</w:t>
      </w:r>
      <w:r>
        <w:rPr>
          <w:rFonts w:ascii="仿宋_GB2312" w:hAnsi="宋体" w:eastAsia="仿宋_GB2312" w:cs="仿宋_GB2312"/>
          <w:color w:val="000000"/>
          <w:kern w:val="0"/>
          <w:sz w:val="28"/>
          <w:szCs w:val="28"/>
          <w:lang w:val="en-US" w:eastAsia="zh-CN" w:bidi="ar"/>
        </w:rPr>
        <w:t>。进一步完善硕士复</w:t>
      </w:r>
      <w:r>
        <w:rPr>
          <w:rFonts w:hint="eastAsia" w:ascii="仿宋_GB2312" w:hAnsi="宋体" w:eastAsia="仿宋_GB2312" w:cs="仿宋_GB2312"/>
          <w:color w:val="000000"/>
          <w:kern w:val="0"/>
          <w:sz w:val="28"/>
          <w:szCs w:val="28"/>
          <w:lang w:val="en-US" w:eastAsia="zh-CN" w:bidi="ar"/>
        </w:rPr>
        <w:t>试工作的监督管理，制定调剂生客观筛选规则，建立录取低分生审查机制，并严格执行。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黑体" w:eastAsia="仿宋_GB2312" w:cs="黑体"/>
          <w:bCs/>
          <w:sz w:val="28"/>
          <w:szCs w:val="28"/>
          <w:highlight w:val="none"/>
        </w:rPr>
      </w:pPr>
      <w:r>
        <w:rPr>
          <w:rFonts w:hint="eastAsia" w:ascii="仿宋_GB2312" w:hAnsi="黑体" w:eastAsia="仿宋_GB2312" w:cs="黑体"/>
          <w:bCs/>
          <w:sz w:val="28"/>
          <w:szCs w:val="28"/>
          <w:highlight w:val="none"/>
          <w:lang w:val="en-US" w:eastAsia="zh-CN"/>
        </w:rPr>
        <w:t>3.4</w:t>
      </w:r>
      <w:r>
        <w:rPr>
          <w:rFonts w:hint="eastAsia" w:ascii="仿宋_GB2312" w:hAnsi="黑体" w:eastAsia="仿宋_GB2312" w:cs="黑体"/>
          <w:bCs/>
          <w:sz w:val="28"/>
          <w:szCs w:val="28"/>
          <w:highlight w:val="none"/>
        </w:rPr>
        <w:t>课程教学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黑体" w:eastAsia="仿宋_GB2312" w:cs="黑体"/>
          <w:bCs/>
          <w:sz w:val="28"/>
          <w:szCs w:val="28"/>
          <w:highlight w:val="none"/>
          <w:lang w:val="en-US" w:eastAsia="zh-CN"/>
        </w:rPr>
      </w:pPr>
      <w:r>
        <w:rPr>
          <w:rFonts w:hint="eastAsia" w:ascii="仿宋_GB2312" w:hAnsi="黑体" w:eastAsia="仿宋_GB2312" w:cs="黑体"/>
          <w:bCs/>
          <w:sz w:val="28"/>
          <w:szCs w:val="28"/>
          <w:highlight w:val="none"/>
          <w:lang w:val="en-US" w:eastAsia="zh-CN"/>
        </w:rPr>
        <w:t>本年度我校共开设75门硕士课程，涵盖思政课程、外语课程、专业基础课程等。其中，</w:t>
      </w:r>
      <w:r>
        <w:rPr>
          <w:rFonts w:hint="eastAsia" w:ascii="仿宋_GB2312" w:hAnsi="仿宋" w:eastAsia="仿宋_GB2312" w:cs="仿宋"/>
          <w:sz w:val="28"/>
          <w:szCs w:val="28"/>
          <w:lang w:val="en-US" w:eastAsia="zh-CN"/>
        </w:rPr>
        <w:t>本学位点</w:t>
      </w:r>
      <w:r>
        <w:rPr>
          <w:rFonts w:hint="eastAsia" w:ascii="仿宋_GB2312" w:hAnsi="黑体" w:eastAsia="仿宋_GB2312" w:cs="黑体"/>
          <w:bCs/>
          <w:sz w:val="28"/>
          <w:szCs w:val="28"/>
          <w:highlight w:val="none"/>
          <w:lang w:val="en-US" w:eastAsia="zh-CN"/>
        </w:rPr>
        <w:t>开设10门课程。学生根据培养方案要求和学位论文课题研究相关性选择课程。</w:t>
      </w:r>
    </w:p>
    <w:tbl>
      <w:tblPr>
        <w:tblStyle w:val="3"/>
        <w:tblW w:w="80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5"/>
        <w:gridCol w:w="3047"/>
        <w:gridCol w:w="968"/>
        <w:gridCol w:w="736"/>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开课学院</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课程名称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理论学时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实验学时</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马克思主义学院</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中国特色社会主义理论与实践研究</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自然辩证法</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健康学院</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社会心理学研究</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认知发展与教育</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高级心理测量学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身心医学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医学研究伦理审查</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职业心理健康与压力管理</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英语听说</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英语读写译</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基础医学院</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腹盆部解剖学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心血管解剖学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胸部解剖学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中枢神经解剖学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骨科解剖学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头颈临床应用解剖学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人体断面解剖学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高级组织学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神经生物学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形态学研究技术基础理论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高级病理学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临床病理学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电镜技术及超微病理学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医学免疫学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高级生物化学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肿瘤分子生物学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医学分子生物学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分子病毒与细菌学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高级生理学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高级病理生理学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神经生理学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心血管生理学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细胞生物学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医学遗传学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生物信息学前沿讲座与论文选读</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核酸技术（代码：S1）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蛋白技术（代码：S2）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细胞技术（代码：S3）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动物实验1（代码：S4-1）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动物实验2（代码：S4-2）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实验讲座（代码：S5）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公共卫生学院</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流行病学原理与方法</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医学统计学（Ⅰ）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临床试验设计与统计分析</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公共卫生政策与管理</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医学统计学（Ⅱ）</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实验设计与分析</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临床流行病学与循证医学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现场流行病学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社会医学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卫生政策学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高级管理学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社会科学研究方法</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卫生经济学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现代管理技术与方法</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科研项目设计与申报</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现代毒理学基础</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临床药物毒理学基础</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公共卫生理论与实践</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分子预防医学实验技术（代码：S7）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食品安全概论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现代营养学进展</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食品安全与风险评估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药学院</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高级药物化学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药物波谱学图谱解析</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天然产物化学导论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高级药理学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高级药学综合实验（代码：S6）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高等药物分析</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仪器分析</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临床药动学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高级临床药物治疗学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304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药物经济学</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w:t>
            </w:r>
          </w:p>
        </w:tc>
        <w:tc>
          <w:tcPr>
            <w:tcW w:w="3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医学文献检索</w:t>
            </w:r>
          </w:p>
        </w:tc>
        <w:tc>
          <w:tcPr>
            <w:tcW w:w="968" w:type="dxa"/>
            <w:tcBorders>
              <w:top w:val="single" w:color="000000" w:sz="4" w:space="0"/>
              <w:left w:val="single" w:color="auto"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公共技术中心</w:t>
            </w:r>
          </w:p>
        </w:tc>
        <w:tc>
          <w:tcPr>
            <w:tcW w:w="3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医学实验室安全与操作规范</w:t>
            </w:r>
          </w:p>
        </w:tc>
        <w:tc>
          <w:tcPr>
            <w:tcW w:w="96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3.5导师指导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根据《福建医科大学研究生指导教师遴选实施细则》每2年开展一次导师选聘工作，严格要求审核导师资质，实行校院双重审核，守好准入关。本年度未开展专硕导师遴选工作。积极开展导师培训，每年至少开展1次导师培训，针对研究生招生、培养、学位相关工作等相关工作进行培训。根据《福建医科大学研究生指导教师招生资格审核暂行办法》对导师条件进行年度审核，审核不合格的，暂停该年度的招生资格。结合药学学科特点，发挥医科大学临床医院优势，积极在行业中选聘资深临床药师作为行业导师。不断加强导师队伍建设，“临床药学”导师团队入选获得福建药学专业学位研究生导师团队建设名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3.6学术训练或实习实践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本学位点在培养方案中要求各领域研究生在实践基地开展不少于12个月的实习，其中临床药学领域对照临床药学培训要求，开展至少4个临床专业，每个专业不少于3个月的通科轮转实习，和4-6个月的专科轮转，同时积极协调规培基地，探索三证合一；管理药学方向研究生进入GLP、GCP等机构开展SOP学习，参与项目工作；工业药学方向研究生，进入药品生产企业研发部门、医院制剂室开展实践学习。实本年度共有15名学生进入6家实习基地开展实践学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3.7学术交流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本学位点积极组织学生参与校院两级学术交流活动，包括“名家讲坛”“导师讲坛”“博士生讲坛”“硕士生讲坛”“华韵大讲坛”“弘药论坛”等。积极鼓励学生参与技能竞赛，临床药学方向一年级研究生连续三年参加全国大学生“药苑论坛”均获得奖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（四）质量监控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4.1质量保障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lang w:val="en-US" w:eastAsia="zh-CN"/>
        </w:rPr>
      </w:pPr>
      <w:r>
        <w:rPr>
          <w:rFonts w:hint="eastAsia" w:ascii="仿宋_GB2312" w:hAnsi="仿宋" w:eastAsia="仿宋_GB2312" w:cs="仿宋"/>
          <w:bCs w:val="0"/>
          <w:kern w:val="2"/>
          <w:sz w:val="28"/>
          <w:szCs w:val="28"/>
          <w:lang w:val="en-US" w:eastAsia="zh-CN" w:bidi="ar-SA"/>
        </w:rPr>
        <w:t>根据研究生培养的流程，培养过程可大致分为课程学习、实践学习、学位申请三个阶段。本学位点的质量保障工作主要围绕上述三个阶段展开。课程学习阶段，所有课程按照学校的规定进行新开课遴选，开课过程由校院两级督导随机听课，课程考核采用多样化考核制度，充分考察研究生的学习成果，部分课程学习成果还在期刊上发表。实践学习，严格落实轮转要求，研究生需要完成实习作业、轮转记录，通过出科考核后才能进入下一科室的学习。学位申请阶段，研究生按照《福建医科大学研究生学位论文质量管理办法》要求，以10%的比例抽取双盲送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4.2分流淘汰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lang w:val="en-US" w:eastAsia="zh-CN"/>
        </w:rPr>
      </w:pPr>
      <w:r>
        <w:rPr>
          <w:rFonts w:hint="eastAsia" w:ascii="仿宋_GB2312" w:hAnsi="仿宋" w:eastAsia="仿宋_GB2312" w:cs="仿宋"/>
          <w:bCs w:val="0"/>
          <w:kern w:val="2"/>
          <w:sz w:val="28"/>
          <w:szCs w:val="28"/>
          <w:lang w:val="en-US" w:eastAsia="zh-CN" w:bidi="ar-SA"/>
        </w:rPr>
        <w:t>本学位点分流淘汰环节主要包括中期考核和毕业时限2个分流点。研究生在第3学期期末参加中期考核，考核内容包括专业实践情况、专业技能水平等，中期考核不合格者，可在6个月后申请再次考核，仍不合格者将淘汰分流。硕士研究生要求超过最长修读年限不超过5年，超过5年仍无法申请毕业者将分流淘汰。本年度无分流淘汰研究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4.3学位论文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本学位点高度重视论文质量，对存在学术不端行为的研究生不予授予学位。导师作为研究生培养的第一责任人，负责论文指导工作。学院集中组织研究生进行论文开题、中期考核，论文查重、送审，论文答辩等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本年度毕业生论文查重送审均合格，并已连续第2年获得福建省优秀学位论文各1篇。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4.4学风教育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本学位点重视学风建设，每年组织师生收看全国科学道德和学风建设宣讲教育报告会，同时通过形式多样的思政课程、课程思政提升研究生的思想政治理论水平。本年度未发现学术不端行为。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highlight w:val="none"/>
          <w:lang w:val="en-US" w:eastAsia="zh-CN"/>
        </w:rPr>
      </w:pPr>
      <w:r>
        <w:rPr>
          <w:rFonts w:hint="eastAsia" w:ascii="仿宋_GB2312" w:hAnsi="仿宋" w:eastAsia="仿宋_GB2312" w:cs="仿宋"/>
          <w:sz w:val="28"/>
          <w:szCs w:val="28"/>
          <w:highlight w:val="none"/>
          <w:lang w:val="en-US" w:eastAsia="zh-CN"/>
        </w:rPr>
        <w:t>4.5管理服务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lang w:val="en-US"/>
        </w:rPr>
      </w:pPr>
      <w:r>
        <w:rPr>
          <w:rFonts w:hint="eastAsia" w:ascii="仿宋_GB2312" w:hAnsi="仿宋" w:eastAsia="仿宋_GB2312" w:cs="仿宋"/>
          <w:sz w:val="28"/>
          <w:szCs w:val="28"/>
          <w:lang w:val="en-US" w:eastAsia="zh-CN"/>
        </w:rPr>
        <w:t>本学位点研究生院管理与服务工作主要有研究生院和二级学院共同承担</w:t>
      </w:r>
      <w:r>
        <w:rPr>
          <w:rFonts w:hint="eastAsia" w:ascii="仿宋_GB2312" w:hAnsi="宋体" w:eastAsia="仿宋_GB2312" w:cs="仿宋_GB2312"/>
          <w:color w:val="000000"/>
          <w:kern w:val="0"/>
          <w:sz w:val="28"/>
          <w:szCs w:val="28"/>
          <w:lang w:val="en-US" w:eastAsia="zh-CN" w:bidi="ar"/>
        </w:rPr>
        <w:t>，研究生院</w:t>
      </w:r>
      <w:r>
        <w:rPr>
          <w:rFonts w:ascii="仿宋_GB2312" w:hAnsi="宋体" w:eastAsia="仿宋_GB2312" w:cs="仿宋_GB2312"/>
          <w:color w:val="000000"/>
          <w:kern w:val="0"/>
          <w:sz w:val="28"/>
          <w:szCs w:val="28"/>
          <w:lang w:val="en-US" w:eastAsia="zh-CN" w:bidi="ar"/>
        </w:rPr>
        <w:t>下</w:t>
      </w:r>
      <w:r>
        <w:rPr>
          <w:rFonts w:hint="eastAsia" w:ascii="仿宋_GB2312" w:hAnsi="宋体" w:eastAsia="仿宋_GB2312" w:cs="仿宋_GB2312"/>
          <w:color w:val="000000"/>
          <w:kern w:val="0"/>
          <w:sz w:val="28"/>
          <w:szCs w:val="28"/>
          <w:lang w:val="en-US" w:eastAsia="zh-CN" w:bidi="ar"/>
        </w:rPr>
        <w:t>设党政管理办公室、研究生招生办公室、学生培养办公室、学位管理办公室、学生工作办公室（分团委），共有专职管理人员25名。药学院设置分管研究生工作副院长1名，专职管理人员1名，开展日常研究生培育管理与服务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受到“新冠”疫情影响，部分春节返乡由于疫情防控要求，无法返乡，本学位点采取多种手段并举的方式，在保证质量的前提下，积极保障研究生顺利毕业。主要包括（1）通过网络远程提供存在实验室电脑、个人电脑中的数据和学位论文初稿；（2）利用钉钉、腾讯会议等软件，开展线上的论文指导和线上答辩；（3）开展多个批次的论文评审和学位授予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在学研究生对学校的总体满意度为100%。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4.6就业发展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本年度毕业生11名，就业率100%，其中10名就职于医疗卫生机构，1名就职于高等学校。</w:t>
      </w:r>
    </w:p>
    <w:p>
      <w:pPr>
        <w:pStyle w:val="2"/>
        <w:rPr>
          <w:rFonts w:hint="default"/>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hAnsi="黑体" w:eastAsia="仿宋_GB2312" w:cs="黑体"/>
          <w:bCs/>
          <w:sz w:val="28"/>
          <w:szCs w:val="28"/>
        </w:rPr>
      </w:pPr>
      <w:r>
        <w:rPr>
          <w:rFonts w:hint="eastAsia" w:ascii="仿宋_GB2312" w:hAnsi="黑体" w:eastAsia="仿宋_GB2312" w:cs="黑体"/>
          <w:bCs/>
          <w:sz w:val="28"/>
          <w:szCs w:val="28"/>
        </w:rPr>
        <w:t>二、工作特色与成效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 xml:space="preserve">1.构建优质实践基地，保证实践技能培养条件，现有国家临床药学师资培训和国家临床药师培训“双基地”1家，国家临床药师培训基地8家，药企1家，省级 GLP 中心1家，获得全国药学专业学位研究生培养示范基地1家。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bCs w:val="0"/>
          <w:kern w:val="2"/>
          <w:sz w:val="28"/>
          <w:szCs w:val="28"/>
          <w:lang w:val="en-US" w:eastAsia="zh-CN" w:bidi="ar-SA"/>
        </w:rPr>
        <w:t>2.</w:t>
      </w:r>
      <w:r>
        <w:rPr>
          <w:rFonts w:hint="eastAsia" w:ascii="仿宋_GB2312" w:hAnsi="仿宋" w:eastAsia="仿宋_GB2312" w:cs="仿宋"/>
          <w:sz w:val="28"/>
          <w:szCs w:val="28"/>
          <w:lang w:val="en-US" w:eastAsia="zh-CN"/>
        </w:rPr>
        <w:t>打造师德师风高尚、业务能力精湛的师资团队，临床药学导师团队入选为省级专业硕士导师团队。坚持典型示范，增强师德修养、践行育人使命；实施青年教师导师制，充分发挥老教师传帮带作用。2016年以来，获得福建省高校优秀共产党员1人，福建省五一巾帼标兵1人，全国高等学校临床药学专业青年教师教学能力大赛特等奖1项、一等奖2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lang w:val="en-US" w:eastAsia="zh-CN"/>
        </w:rPr>
      </w:pPr>
      <w:r>
        <w:rPr>
          <w:rFonts w:hint="eastAsia" w:ascii="仿宋_GB2312" w:hAnsi="仿宋" w:eastAsia="仿宋_GB2312" w:cs="仿宋"/>
          <w:sz w:val="28"/>
          <w:szCs w:val="28"/>
          <w:lang w:val="en-US" w:eastAsia="zh-CN"/>
        </w:rPr>
        <w:t>3.培养质量好，临床药学领域研究生毕业同期通过专科临床药师培训结业考核，25名毕业生进入三甲医院，大部分已成为临床药师骨干，受到用人单位好评。研究生学位论文连续三年获得福建省优秀学位论文。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_GB2312" w:hAnsi="黑体" w:eastAsia="仿宋_GB2312" w:cs="黑体"/>
          <w:bCs/>
          <w:sz w:val="28"/>
          <w:szCs w:val="28"/>
        </w:rPr>
      </w:pPr>
      <w:r>
        <w:rPr>
          <w:rFonts w:hint="eastAsia" w:ascii="仿宋_GB2312" w:hAnsi="黑体" w:eastAsia="仿宋_GB2312" w:cs="黑体"/>
          <w:bCs/>
          <w:sz w:val="28"/>
          <w:szCs w:val="28"/>
        </w:rPr>
        <w:t>学位点建设存在的问题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1.课程建设还不够完善，针对性课程不够多。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2.学术交流不够活跃，国际合作交流不够。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lang w:val="en-US" w:eastAsia="zh-CN"/>
        </w:rPr>
      </w:pPr>
      <w:r>
        <w:rPr>
          <w:rFonts w:hint="eastAsia" w:ascii="仿宋_GB2312" w:hAnsi="仿宋" w:eastAsia="仿宋_GB2312" w:cs="仿宋"/>
          <w:sz w:val="28"/>
          <w:szCs w:val="28"/>
          <w:lang w:val="en-US" w:eastAsia="zh-CN"/>
        </w:rPr>
        <w:t>3.导师队伍仍需进一步加强。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黑体" w:eastAsia="仿宋_GB2312" w:cs="黑体"/>
          <w:bCs/>
          <w:sz w:val="28"/>
          <w:szCs w:val="28"/>
        </w:rPr>
      </w:pPr>
      <w:r>
        <w:rPr>
          <w:rFonts w:hint="eastAsia" w:ascii="仿宋_GB2312" w:hAnsi="黑体" w:eastAsia="仿宋_GB2312" w:cs="黑体"/>
          <w:bCs/>
          <w:sz w:val="28"/>
          <w:szCs w:val="28"/>
        </w:rPr>
        <w:t>四、下一年度建设计划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1.根据《核心课程指南》开设专硕课程。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2.聘请外籍专家开展学术讲座，积极推动境外交流项目落地。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lang w:val="en-US" w:eastAsia="zh-CN"/>
        </w:rPr>
      </w:pPr>
      <w:r>
        <w:rPr>
          <w:rFonts w:hint="eastAsia" w:ascii="仿宋_GB2312" w:hAnsi="仿宋" w:eastAsia="仿宋_GB2312" w:cs="仿宋"/>
          <w:sz w:val="28"/>
          <w:szCs w:val="28"/>
          <w:lang w:val="en-US" w:eastAsia="zh-CN"/>
        </w:rPr>
        <w:t>3.开展导师遴选，进一步加强导师队伍。</w:t>
      </w:r>
    </w:p>
    <w:p>
      <w:pPr>
        <w:pStyle w:val="2"/>
        <w:rPr>
          <w:rFonts w:hint="default"/>
          <w:lang w:val="en-US"/>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300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71342"/>
    <w:multiLevelType w:val="singleLevel"/>
    <w:tmpl w:val="CE27134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WE2YTZkZDNmYzc0ZTUzNWZmYWE1YTgzNjdkZWEifQ=="/>
  </w:docVars>
  <w:rsids>
    <w:rsidRoot w:val="371038B8"/>
    <w:rsid w:val="009261E4"/>
    <w:rsid w:val="05980F58"/>
    <w:rsid w:val="0B0D045C"/>
    <w:rsid w:val="151543B0"/>
    <w:rsid w:val="1809679D"/>
    <w:rsid w:val="1A2C50A5"/>
    <w:rsid w:val="22DB1E68"/>
    <w:rsid w:val="371038B8"/>
    <w:rsid w:val="38FA0B0C"/>
    <w:rsid w:val="3FB465E4"/>
    <w:rsid w:val="48C62546"/>
    <w:rsid w:val="4FEF6062"/>
    <w:rsid w:val="5B7608F9"/>
    <w:rsid w:val="5F6060B7"/>
    <w:rsid w:val="65AA1239"/>
    <w:rsid w:val="6751371D"/>
    <w:rsid w:val="675F1F69"/>
    <w:rsid w:val="6CB4286B"/>
    <w:rsid w:val="79FC6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50" w:beforeLines="50" w:after="50" w:afterLines="50" w:line="240" w:lineRule="auto"/>
      <w:outlineLvl w:val="2"/>
    </w:pPr>
    <w:rPr>
      <w:rFonts w:eastAsia="方正仿宋简体"/>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列出段落"/>
    <w:basedOn w:val="1"/>
    <w:qFormat/>
    <w:uiPriority w:val="0"/>
    <w:pPr>
      <w:ind w:firstLine="420" w:firstLineChars="200"/>
    </w:pPr>
  </w:style>
  <w:style w:type="character" w:customStyle="1" w:styleId="6">
    <w:name w:val="font51"/>
    <w:basedOn w:val="4"/>
    <w:qFormat/>
    <w:uiPriority w:val="0"/>
    <w:rPr>
      <w:rFonts w:hint="eastAsia" w:ascii="宋体" w:hAnsi="宋体" w:eastAsia="宋体" w:cs="宋体"/>
      <w:color w:val="auto"/>
      <w:sz w:val="21"/>
      <w:szCs w:val="21"/>
    </w:rPr>
  </w:style>
  <w:style w:type="character" w:customStyle="1" w:styleId="7">
    <w:name w:val="font61"/>
    <w:basedOn w:val="4"/>
    <w:qFormat/>
    <w:uiPriority w:val="0"/>
    <w:rPr>
      <w:rFonts w:hint="default" w:ascii="Times New Roman" w:hAnsi="Times New Roman" w:eastAsia="宋体" w:cs="Times New Roman"/>
      <w:color w:val="auto"/>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8485</Words>
  <Characters>9066</Characters>
  <Lines>0</Lines>
  <Paragraphs>0</Paragraphs>
  <TotalTime>1</TotalTime>
  <ScaleCrop>false</ScaleCrop>
  <LinksUpToDate>false</LinksUpToDate>
  <CharactersWithSpaces>9081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2022-03-02T02:29:00Z</dcterms:created>
  <dc:creator>陈宏</dc:creator>
  <cp:lastModifiedBy>陈宏</cp:lastModifiedBy>
  <cp:lastPrinted>2022-04-25T08:05:00Z</cp:lastPrinted>
  <dcterms:modified xsi:type="dcterms:W3CDTF">2022-04-27T07:23:59Z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15ABEC3A55544D908AFBC082BCFF3DF2</vt:lpwstr>
  </property>
  <property fmtid="{D5CDD505-2E9C-101B-9397-08002B2CF9AE}" pid="4" name="commondata">
    <vt:lpwstr>eyJoZGlkIjoiMmQzNWE2YTZkZDNmYzc0ZTUzNWZmYWE1YTgzNjdkZWEifQ==</vt:lpwstr>
  </property>
</Properties>
</file>